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Default="00483DFE" w:rsidP="00483DFE">
      <w:pPr>
        <w:spacing w:after="240" w:line="480" w:lineRule="auto"/>
        <w:jc w:val="center"/>
        <w:rPr>
          <w:rFonts w:ascii="Arial" w:eastAsia="Arial" w:hAnsi="Arial" w:cs="Arial"/>
          <w:b/>
          <w:sz w:val="24"/>
        </w:rPr>
      </w:pPr>
      <w:r>
        <w:rPr>
          <w:rFonts w:ascii="Arial" w:hAnsi="Arial" w:cs="Arial"/>
          <w:noProof/>
          <w:sz w:val="24"/>
          <w:szCs w:val="24"/>
        </w:rPr>
        <w:drawing>
          <wp:inline distT="0" distB="0" distL="0" distR="0" wp14:anchorId="63815C44" wp14:editId="74BD9137">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A4648A" w:rsidRDefault="00A4648A" w:rsidP="00F558D6">
      <w:pPr>
        <w:spacing w:line="480" w:lineRule="auto"/>
        <w:jc w:val="center"/>
        <w:rPr>
          <w:rFonts w:ascii="Arial" w:eastAsia="Arial" w:hAnsi="Arial" w:cs="Arial"/>
          <w:b/>
          <w:spacing w:val="-1"/>
          <w:sz w:val="24"/>
          <w:szCs w:val="24"/>
        </w:rPr>
      </w:pPr>
      <w:r>
        <w:rPr>
          <w:rFonts w:ascii="Arial" w:eastAsia="Arial" w:hAnsi="Arial" w:cs="Arial"/>
          <w:b/>
          <w:spacing w:val="-1"/>
          <w:sz w:val="24"/>
          <w:szCs w:val="24"/>
        </w:rPr>
        <w:t xml:space="preserve">CONSTITUTIONAL COURT OF </w:t>
      </w:r>
    </w:p>
    <w:p w:rsidR="00A4648A" w:rsidRDefault="00A4648A" w:rsidP="00F558D6">
      <w:pPr>
        <w:spacing w:line="480" w:lineRule="auto"/>
        <w:jc w:val="center"/>
        <w:rPr>
          <w:rFonts w:ascii="Arial" w:eastAsia="Arial" w:hAnsi="Arial" w:cs="Arial"/>
          <w:sz w:val="24"/>
          <w:szCs w:val="24"/>
        </w:rPr>
      </w:pPr>
      <w:r>
        <w:rPr>
          <w:rFonts w:ascii="Arial" w:eastAsia="Arial" w:hAnsi="Arial" w:cs="Arial"/>
          <w:b/>
          <w:spacing w:val="-1"/>
          <w:sz w:val="24"/>
          <w:szCs w:val="24"/>
        </w:rPr>
        <w:t>THE REPUBLIC OF INDONESIA</w:t>
      </w:r>
    </w:p>
    <w:p w:rsidR="00A4648A" w:rsidRDefault="00A4648A" w:rsidP="00F558D6">
      <w:pPr>
        <w:spacing w:line="480" w:lineRule="auto"/>
        <w:jc w:val="center"/>
        <w:rPr>
          <w:rFonts w:ascii="Arial" w:eastAsia="Arial" w:hAnsi="Arial" w:cs="Arial"/>
          <w:b/>
          <w:sz w:val="24"/>
          <w:szCs w:val="24"/>
        </w:rPr>
      </w:pPr>
      <w:r>
        <w:rPr>
          <w:rFonts w:ascii="Arial" w:eastAsia="Arial" w:hAnsi="Arial" w:cs="Arial"/>
          <w:b/>
          <w:sz w:val="24"/>
          <w:szCs w:val="24"/>
        </w:rPr>
        <w:t xml:space="preserve">SUMMARY OF LAWSUIT VERDICT </w:t>
      </w:r>
    </w:p>
    <w:p w:rsidR="00E75E13" w:rsidRPr="00805740" w:rsidRDefault="00A4648A" w:rsidP="00F558D6">
      <w:pPr>
        <w:spacing w:line="480" w:lineRule="auto"/>
        <w:jc w:val="center"/>
        <w:rPr>
          <w:rFonts w:ascii="Arial" w:eastAsia="Arial" w:hAnsi="Arial" w:cs="Arial"/>
          <w:b/>
          <w:sz w:val="24"/>
        </w:rPr>
      </w:pPr>
      <w:r>
        <w:rPr>
          <w:rFonts w:ascii="Arial" w:eastAsia="Arial" w:hAnsi="Arial" w:cs="Arial"/>
          <w:b/>
          <w:sz w:val="24"/>
          <w:szCs w:val="24"/>
        </w:rPr>
        <w:t>NUMBER</w:t>
      </w:r>
      <w:r w:rsidR="001E1D48" w:rsidRPr="00805740">
        <w:rPr>
          <w:rFonts w:ascii="Arial" w:eastAsia="Arial" w:hAnsi="Arial" w:cs="Arial"/>
          <w:b/>
          <w:sz w:val="24"/>
        </w:rPr>
        <w:t xml:space="preserve"> 94/PUU-XVI/2018</w:t>
      </w:r>
    </w:p>
    <w:p w:rsidR="00E75E13" w:rsidRPr="00805740" w:rsidRDefault="00825668" w:rsidP="00F558D6">
      <w:pPr>
        <w:spacing w:line="480" w:lineRule="auto"/>
        <w:jc w:val="center"/>
        <w:rPr>
          <w:rFonts w:ascii="Arial" w:eastAsia="Arial" w:hAnsi="Arial" w:cs="Arial"/>
          <w:b/>
          <w:sz w:val="24"/>
        </w:rPr>
      </w:pPr>
      <w:r>
        <w:rPr>
          <w:rFonts w:ascii="Arial" w:eastAsia="Arial" w:hAnsi="Arial" w:cs="Arial"/>
          <w:b/>
          <w:sz w:val="24"/>
        </w:rPr>
        <w:t>REGARDING</w:t>
      </w:r>
    </w:p>
    <w:p w:rsidR="002E21FE" w:rsidRDefault="00825668" w:rsidP="00F558D6">
      <w:pPr>
        <w:spacing w:line="480" w:lineRule="auto"/>
        <w:jc w:val="center"/>
        <w:rPr>
          <w:rFonts w:ascii="Arial" w:eastAsia="Arial" w:hAnsi="Arial" w:cs="Arial"/>
          <w:b/>
          <w:sz w:val="24"/>
        </w:rPr>
      </w:pPr>
      <w:r w:rsidRPr="002E21FE">
        <w:rPr>
          <w:rFonts w:ascii="Arial" w:eastAsia="Arial" w:hAnsi="Arial" w:cs="Arial"/>
          <w:b/>
          <w:sz w:val="24"/>
        </w:rPr>
        <w:t xml:space="preserve">REQUEST FOR INFORMATION RECORDING BY THE SUSPECT/DEFENDANT </w:t>
      </w:r>
    </w:p>
    <w:p w:rsidR="00E75E13" w:rsidRPr="00805740" w:rsidRDefault="00825668" w:rsidP="00483DFE">
      <w:pPr>
        <w:spacing w:after="240" w:line="480" w:lineRule="auto"/>
        <w:jc w:val="center"/>
        <w:rPr>
          <w:rFonts w:ascii="Arial" w:hAnsi="Arial" w:cs="Arial"/>
          <w:b/>
          <w:sz w:val="24"/>
        </w:rPr>
      </w:pPr>
      <w:r w:rsidRPr="002E21FE">
        <w:rPr>
          <w:rFonts w:ascii="Arial" w:eastAsia="Arial" w:hAnsi="Arial" w:cs="Arial"/>
          <w:b/>
          <w:sz w:val="24"/>
        </w:rPr>
        <w:t xml:space="preserve">FOR DEFENSE AT </w:t>
      </w:r>
      <w:r>
        <w:rPr>
          <w:rFonts w:ascii="Arial" w:eastAsia="Arial" w:hAnsi="Arial" w:cs="Arial"/>
          <w:b/>
          <w:sz w:val="24"/>
        </w:rPr>
        <w:t xml:space="preserve">THE </w:t>
      </w:r>
      <w:r w:rsidRPr="002E21FE">
        <w:rPr>
          <w:rFonts w:ascii="Arial" w:eastAsia="Arial" w:hAnsi="Arial" w:cs="Arial"/>
          <w:b/>
          <w:sz w:val="24"/>
        </w:rPr>
        <w:t>TRIAL</w:t>
      </w:r>
    </w:p>
    <w:p w:rsidR="00E75E13" w:rsidRPr="00805740" w:rsidRDefault="001E1D48" w:rsidP="00483DFE">
      <w:pPr>
        <w:tabs>
          <w:tab w:val="left" w:pos="2520"/>
        </w:tabs>
        <w:spacing w:after="240" w:line="480" w:lineRule="auto"/>
        <w:ind w:left="2880" w:hanging="2880"/>
        <w:jc w:val="both"/>
        <w:rPr>
          <w:rFonts w:ascii="Arial" w:eastAsia="Arial" w:hAnsi="Arial" w:cs="Arial"/>
          <w:sz w:val="24"/>
        </w:rPr>
      </w:pPr>
      <w:r w:rsidRPr="002E21FE">
        <w:rPr>
          <w:rFonts w:ascii="Arial" w:eastAsia="Arial" w:hAnsi="Arial" w:cs="Arial"/>
          <w:b/>
          <w:sz w:val="24"/>
        </w:rPr>
        <w:t>Pe</w:t>
      </w:r>
      <w:r w:rsidR="002E21FE" w:rsidRPr="002E21FE">
        <w:rPr>
          <w:rFonts w:ascii="Arial" w:eastAsia="Arial" w:hAnsi="Arial" w:cs="Arial"/>
          <w:b/>
          <w:sz w:val="24"/>
        </w:rPr>
        <w:t>titioner</w:t>
      </w:r>
      <w:r w:rsidRPr="00805740">
        <w:rPr>
          <w:rFonts w:ascii="Arial" w:eastAsia="Arial" w:hAnsi="Arial" w:cs="Arial"/>
          <w:sz w:val="24"/>
        </w:rPr>
        <w:t xml:space="preserve">                </w:t>
      </w:r>
      <w:r w:rsidR="00805740">
        <w:rPr>
          <w:rFonts w:ascii="Arial" w:eastAsia="Arial" w:hAnsi="Arial" w:cs="Arial"/>
          <w:sz w:val="24"/>
        </w:rPr>
        <w:tab/>
      </w:r>
      <w:r w:rsidRPr="00805740">
        <w:rPr>
          <w:rFonts w:ascii="Arial" w:eastAsia="Arial" w:hAnsi="Arial" w:cs="Arial"/>
          <w:sz w:val="24"/>
        </w:rPr>
        <w:t>:</w:t>
      </w:r>
      <w:r w:rsidR="00805740">
        <w:rPr>
          <w:rFonts w:ascii="Arial" w:eastAsia="Arial" w:hAnsi="Arial" w:cs="Arial"/>
          <w:sz w:val="24"/>
        </w:rPr>
        <w:tab/>
      </w:r>
      <w:proofErr w:type="spellStart"/>
      <w:r w:rsidRPr="00805740">
        <w:rPr>
          <w:rFonts w:ascii="Arial" w:eastAsia="Arial" w:hAnsi="Arial" w:cs="Arial"/>
          <w:sz w:val="24"/>
        </w:rPr>
        <w:t>Sadikin</w:t>
      </w:r>
      <w:proofErr w:type="spellEnd"/>
      <w:r w:rsidRPr="00805740">
        <w:rPr>
          <w:rFonts w:ascii="Arial" w:eastAsia="Arial" w:hAnsi="Arial" w:cs="Arial"/>
          <w:sz w:val="24"/>
        </w:rPr>
        <w:t xml:space="preserve"> </w:t>
      </w:r>
      <w:proofErr w:type="spellStart"/>
      <w:r w:rsidRPr="00805740">
        <w:rPr>
          <w:rFonts w:ascii="Arial" w:eastAsia="Arial" w:hAnsi="Arial" w:cs="Arial"/>
          <w:sz w:val="24"/>
        </w:rPr>
        <w:t>Arifin</w:t>
      </w:r>
      <w:proofErr w:type="spellEnd"/>
    </w:p>
    <w:p w:rsidR="00E75E13" w:rsidRPr="00805740" w:rsidRDefault="002E21FE" w:rsidP="00483DFE">
      <w:pPr>
        <w:tabs>
          <w:tab w:val="left" w:pos="2520"/>
        </w:tabs>
        <w:spacing w:after="240" w:line="480" w:lineRule="auto"/>
        <w:ind w:left="2880" w:hanging="2880"/>
        <w:jc w:val="both"/>
        <w:rPr>
          <w:rFonts w:ascii="Arial" w:eastAsia="Arial" w:hAnsi="Arial" w:cs="Arial"/>
          <w:sz w:val="24"/>
        </w:rPr>
      </w:pPr>
      <w:r w:rsidRPr="002E21FE">
        <w:rPr>
          <w:rFonts w:ascii="Arial" w:eastAsia="Arial" w:hAnsi="Arial" w:cs="Arial"/>
          <w:b/>
          <w:sz w:val="24"/>
        </w:rPr>
        <w:t xml:space="preserve">Type of </w:t>
      </w:r>
      <w:r w:rsidR="00A4648A">
        <w:rPr>
          <w:rFonts w:ascii="Arial" w:eastAsia="Arial" w:hAnsi="Arial" w:cs="Arial"/>
          <w:b/>
          <w:sz w:val="24"/>
        </w:rPr>
        <w:t>Lawsuit</w:t>
      </w:r>
      <w:r w:rsidR="001E1D48" w:rsidRPr="00805740">
        <w:rPr>
          <w:rFonts w:ascii="Arial" w:eastAsia="Arial" w:hAnsi="Arial" w:cs="Arial"/>
          <w:sz w:val="24"/>
        </w:rPr>
        <w:t xml:space="preserve">         </w:t>
      </w:r>
      <w:r w:rsidR="00805740">
        <w:rPr>
          <w:rFonts w:ascii="Arial" w:eastAsia="Arial" w:hAnsi="Arial" w:cs="Arial"/>
          <w:sz w:val="24"/>
        </w:rPr>
        <w:tab/>
      </w:r>
      <w:r w:rsidR="001E1D48" w:rsidRPr="00805740">
        <w:rPr>
          <w:rFonts w:ascii="Arial" w:eastAsia="Arial" w:hAnsi="Arial" w:cs="Arial"/>
          <w:sz w:val="24"/>
        </w:rPr>
        <w:t xml:space="preserve">:   </w:t>
      </w:r>
      <w:r w:rsidR="00805740">
        <w:rPr>
          <w:rFonts w:ascii="Arial" w:eastAsia="Arial" w:hAnsi="Arial" w:cs="Arial"/>
          <w:sz w:val="24"/>
        </w:rPr>
        <w:tab/>
      </w:r>
      <w:r>
        <w:rPr>
          <w:rFonts w:ascii="Arial" w:eastAsia="Arial" w:hAnsi="Arial" w:cs="Arial"/>
          <w:sz w:val="24"/>
        </w:rPr>
        <w:t>Judicial review</w:t>
      </w:r>
      <w:r w:rsidRPr="002E21FE">
        <w:rPr>
          <w:rFonts w:ascii="Arial" w:eastAsia="Arial" w:hAnsi="Arial" w:cs="Arial"/>
          <w:sz w:val="24"/>
        </w:rPr>
        <w:t xml:space="preserve"> of Law Number 36 of 1999 </w:t>
      </w:r>
      <w:r>
        <w:rPr>
          <w:rFonts w:ascii="Arial" w:eastAsia="Arial" w:hAnsi="Arial" w:cs="Arial"/>
          <w:sz w:val="24"/>
        </w:rPr>
        <w:t>regard</w:t>
      </w:r>
      <w:r w:rsidRPr="002E21FE">
        <w:rPr>
          <w:rFonts w:ascii="Arial" w:eastAsia="Arial" w:hAnsi="Arial" w:cs="Arial"/>
          <w:sz w:val="24"/>
        </w:rPr>
        <w:t xml:space="preserve">ing Telecommunications (Law 36/1999) </w:t>
      </w:r>
      <w:r>
        <w:rPr>
          <w:rFonts w:ascii="Arial" w:eastAsia="Arial" w:hAnsi="Arial" w:cs="Arial"/>
          <w:sz w:val="24"/>
        </w:rPr>
        <w:t>against</w:t>
      </w:r>
      <w:r w:rsidRPr="002E21FE">
        <w:rPr>
          <w:rFonts w:ascii="Arial" w:eastAsia="Arial" w:hAnsi="Arial" w:cs="Arial"/>
          <w:sz w:val="24"/>
        </w:rPr>
        <w:t xml:space="preserve"> the 1945 Constituti</w:t>
      </w:r>
      <w:r w:rsidR="003B6A26">
        <w:rPr>
          <w:rFonts w:ascii="Arial" w:eastAsia="Arial" w:hAnsi="Arial" w:cs="Arial"/>
          <w:sz w:val="24"/>
        </w:rPr>
        <w:t>on of the Republic of Indonesia.</w:t>
      </w:r>
    </w:p>
    <w:p w:rsidR="00E75E13" w:rsidRPr="00805740" w:rsidRDefault="002E21FE" w:rsidP="00483DFE">
      <w:pPr>
        <w:tabs>
          <w:tab w:val="left" w:pos="2520"/>
        </w:tabs>
        <w:spacing w:after="240" w:line="480" w:lineRule="auto"/>
        <w:ind w:left="2880" w:hanging="2880"/>
        <w:jc w:val="both"/>
        <w:rPr>
          <w:rFonts w:ascii="Arial" w:eastAsia="Arial" w:hAnsi="Arial" w:cs="Arial"/>
          <w:sz w:val="24"/>
        </w:rPr>
      </w:pPr>
      <w:r w:rsidRPr="002E21FE">
        <w:rPr>
          <w:rFonts w:ascii="Arial" w:eastAsia="Arial" w:hAnsi="Arial" w:cs="Arial"/>
          <w:b/>
          <w:sz w:val="24"/>
        </w:rPr>
        <w:t>Case</w:t>
      </w:r>
      <w:r w:rsidR="00A4648A">
        <w:rPr>
          <w:rFonts w:ascii="Arial" w:eastAsia="Arial" w:hAnsi="Arial" w:cs="Arial"/>
          <w:b/>
          <w:sz w:val="24"/>
        </w:rPr>
        <w:t xml:space="preserve"> </w:t>
      </w:r>
      <w:r w:rsidR="00A4648A" w:rsidRPr="002E21FE">
        <w:rPr>
          <w:rFonts w:ascii="Arial" w:eastAsia="Arial" w:hAnsi="Arial" w:cs="Arial"/>
          <w:b/>
          <w:sz w:val="24"/>
        </w:rPr>
        <w:t xml:space="preserve">of </w:t>
      </w:r>
      <w:r w:rsidR="00A4648A">
        <w:rPr>
          <w:rFonts w:ascii="Arial" w:eastAsia="Arial" w:hAnsi="Arial" w:cs="Arial"/>
          <w:b/>
          <w:sz w:val="24"/>
        </w:rPr>
        <w:t>Lawsuit</w:t>
      </w:r>
      <w:r w:rsidR="001E1D48" w:rsidRPr="00805740">
        <w:rPr>
          <w:rFonts w:ascii="Arial" w:eastAsia="Arial" w:hAnsi="Arial" w:cs="Arial"/>
          <w:sz w:val="24"/>
        </w:rPr>
        <w:t xml:space="preserve">       </w:t>
      </w:r>
      <w:r w:rsidR="00805740">
        <w:rPr>
          <w:rFonts w:ascii="Arial" w:eastAsia="Arial" w:hAnsi="Arial" w:cs="Arial"/>
          <w:sz w:val="24"/>
        </w:rPr>
        <w:tab/>
      </w:r>
      <w:r w:rsidR="001E1D48" w:rsidRPr="00805740">
        <w:rPr>
          <w:rFonts w:ascii="Arial" w:eastAsia="Arial" w:hAnsi="Arial" w:cs="Arial"/>
          <w:sz w:val="24"/>
        </w:rPr>
        <w:t xml:space="preserve">:  </w:t>
      </w:r>
      <w:r w:rsidR="00805740">
        <w:rPr>
          <w:rFonts w:ascii="Arial" w:eastAsia="Arial" w:hAnsi="Arial" w:cs="Arial"/>
          <w:sz w:val="24"/>
        </w:rPr>
        <w:tab/>
      </w:r>
      <w:r>
        <w:rPr>
          <w:rFonts w:ascii="Arial" w:eastAsia="Arial" w:hAnsi="Arial" w:cs="Arial"/>
          <w:sz w:val="24"/>
        </w:rPr>
        <w:t>Judicial review</w:t>
      </w:r>
      <w:r w:rsidRPr="002E21FE">
        <w:rPr>
          <w:rFonts w:ascii="Arial" w:eastAsia="Arial" w:hAnsi="Arial" w:cs="Arial"/>
          <w:sz w:val="24"/>
        </w:rPr>
        <w:t xml:space="preserve"> of Article 42 paragra</w:t>
      </w:r>
      <w:r>
        <w:rPr>
          <w:rFonts w:ascii="Arial" w:eastAsia="Arial" w:hAnsi="Arial" w:cs="Arial"/>
          <w:sz w:val="24"/>
        </w:rPr>
        <w:t>ph (2) of Law Number 36 of 1999 regard</w:t>
      </w:r>
      <w:r w:rsidRPr="002E21FE">
        <w:rPr>
          <w:rFonts w:ascii="Arial" w:eastAsia="Arial" w:hAnsi="Arial" w:cs="Arial"/>
          <w:sz w:val="24"/>
        </w:rPr>
        <w:t xml:space="preserve">ing Telecommunications </w:t>
      </w:r>
      <w:r>
        <w:rPr>
          <w:rFonts w:ascii="Arial" w:eastAsia="Arial" w:hAnsi="Arial" w:cs="Arial"/>
          <w:sz w:val="24"/>
        </w:rPr>
        <w:t>against</w:t>
      </w:r>
      <w:r w:rsidRPr="002E21FE">
        <w:rPr>
          <w:rFonts w:ascii="Arial" w:eastAsia="Arial" w:hAnsi="Arial" w:cs="Arial"/>
          <w:sz w:val="24"/>
        </w:rPr>
        <w:t xml:space="preserve"> the 1945 Constitution</w:t>
      </w:r>
      <w:r w:rsidR="003B6A26">
        <w:rPr>
          <w:rFonts w:ascii="Arial" w:eastAsia="Arial" w:hAnsi="Arial" w:cs="Arial"/>
          <w:sz w:val="24"/>
        </w:rPr>
        <w:t>.</w:t>
      </w:r>
    </w:p>
    <w:p w:rsidR="00E75E13" w:rsidRPr="00805740" w:rsidRDefault="002E21FE" w:rsidP="00483DFE">
      <w:pPr>
        <w:tabs>
          <w:tab w:val="left" w:pos="2520"/>
        </w:tabs>
        <w:spacing w:after="240" w:line="480" w:lineRule="auto"/>
        <w:ind w:left="2880" w:hanging="2880"/>
        <w:jc w:val="both"/>
        <w:rPr>
          <w:rFonts w:ascii="Arial" w:eastAsia="Arial" w:hAnsi="Arial" w:cs="Arial"/>
          <w:sz w:val="24"/>
        </w:rPr>
      </w:pPr>
      <w:r w:rsidRPr="002E21FE">
        <w:rPr>
          <w:rFonts w:ascii="Arial" w:eastAsia="Arial" w:hAnsi="Arial" w:cs="Arial"/>
          <w:b/>
          <w:sz w:val="24"/>
        </w:rPr>
        <w:t>Injunction</w:t>
      </w:r>
      <w:r w:rsidR="001E1D48" w:rsidRPr="00805740">
        <w:rPr>
          <w:rFonts w:ascii="Arial" w:eastAsia="Arial" w:hAnsi="Arial" w:cs="Arial"/>
          <w:sz w:val="24"/>
        </w:rPr>
        <w:t xml:space="preserve">        </w:t>
      </w:r>
      <w:r w:rsidR="00805740">
        <w:rPr>
          <w:rFonts w:ascii="Arial" w:eastAsia="Arial" w:hAnsi="Arial" w:cs="Arial"/>
          <w:sz w:val="24"/>
        </w:rPr>
        <w:tab/>
      </w:r>
      <w:r w:rsidR="001E1D48" w:rsidRPr="00805740">
        <w:rPr>
          <w:rFonts w:ascii="Arial" w:eastAsia="Arial" w:hAnsi="Arial" w:cs="Arial"/>
          <w:sz w:val="24"/>
        </w:rPr>
        <w:t xml:space="preserve">: </w:t>
      </w:r>
      <w:r w:rsidR="00805740">
        <w:rPr>
          <w:rFonts w:ascii="Arial" w:eastAsia="Arial" w:hAnsi="Arial" w:cs="Arial"/>
          <w:sz w:val="24"/>
        </w:rPr>
        <w:tab/>
      </w:r>
      <w:r w:rsidRPr="002E21FE">
        <w:rPr>
          <w:rFonts w:ascii="Arial" w:eastAsia="Arial" w:hAnsi="Arial" w:cs="Arial"/>
          <w:sz w:val="24"/>
        </w:rPr>
        <w:t xml:space="preserve">Rejecting the </w:t>
      </w:r>
      <w:r>
        <w:rPr>
          <w:rFonts w:ascii="Arial" w:eastAsia="Arial" w:hAnsi="Arial" w:cs="Arial"/>
          <w:sz w:val="24"/>
        </w:rPr>
        <w:t xml:space="preserve">Petitioner’s </w:t>
      </w:r>
      <w:r w:rsidRPr="002E21FE">
        <w:rPr>
          <w:rFonts w:ascii="Arial" w:eastAsia="Arial" w:hAnsi="Arial" w:cs="Arial"/>
          <w:sz w:val="24"/>
        </w:rPr>
        <w:t xml:space="preserve">petition in </w:t>
      </w:r>
      <w:r>
        <w:rPr>
          <w:rFonts w:ascii="Arial" w:eastAsia="Arial" w:hAnsi="Arial" w:cs="Arial"/>
          <w:sz w:val="24"/>
        </w:rPr>
        <w:t>their</w:t>
      </w:r>
      <w:r w:rsidRPr="002E21FE">
        <w:rPr>
          <w:rFonts w:ascii="Arial" w:eastAsia="Arial" w:hAnsi="Arial" w:cs="Arial"/>
          <w:sz w:val="24"/>
        </w:rPr>
        <w:t xml:space="preserve"> entirety.</w:t>
      </w:r>
    </w:p>
    <w:p w:rsidR="00E75E13" w:rsidRPr="00805740" w:rsidRDefault="002E21FE" w:rsidP="00483DFE">
      <w:pPr>
        <w:tabs>
          <w:tab w:val="left" w:pos="2520"/>
        </w:tabs>
        <w:spacing w:after="240" w:line="480" w:lineRule="auto"/>
        <w:ind w:left="2880" w:hanging="2880"/>
        <w:jc w:val="both"/>
        <w:rPr>
          <w:rFonts w:ascii="Arial" w:eastAsia="Arial" w:hAnsi="Arial" w:cs="Arial"/>
          <w:sz w:val="24"/>
        </w:rPr>
      </w:pPr>
      <w:r w:rsidRPr="002E21FE">
        <w:rPr>
          <w:rFonts w:ascii="Arial" w:eastAsia="Arial" w:hAnsi="Arial" w:cs="Arial"/>
          <w:b/>
          <w:sz w:val="24"/>
        </w:rPr>
        <w:t xml:space="preserve">Date of </w:t>
      </w:r>
      <w:r w:rsidR="00A4648A">
        <w:rPr>
          <w:rFonts w:ascii="Arial" w:eastAsia="Arial" w:hAnsi="Arial" w:cs="Arial"/>
          <w:b/>
          <w:sz w:val="24"/>
        </w:rPr>
        <w:t>Verdict</w:t>
      </w:r>
      <w:r w:rsidR="001E1D48" w:rsidRPr="00805740">
        <w:rPr>
          <w:rFonts w:ascii="Arial" w:eastAsia="Arial" w:hAnsi="Arial" w:cs="Arial"/>
          <w:sz w:val="24"/>
        </w:rPr>
        <w:t xml:space="preserve">   </w:t>
      </w:r>
      <w:r w:rsidR="00805740">
        <w:rPr>
          <w:rFonts w:ascii="Arial" w:eastAsia="Arial" w:hAnsi="Arial" w:cs="Arial"/>
          <w:sz w:val="24"/>
        </w:rPr>
        <w:tab/>
      </w:r>
      <w:r w:rsidR="001E1D48" w:rsidRPr="00805740">
        <w:rPr>
          <w:rFonts w:ascii="Arial" w:eastAsia="Arial" w:hAnsi="Arial" w:cs="Arial"/>
          <w:sz w:val="24"/>
        </w:rPr>
        <w:t xml:space="preserve">: </w:t>
      </w:r>
      <w:r w:rsidR="00805740">
        <w:rPr>
          <w:rFonts w:ascii="Arial" w:eastAsia="Arial" w:hAnsi="Arial" w:cs="Arial"/>
          <w:sz w:val="24"/>
        </w:rPr>
        <w:tab/>
      </w:r>
      <w:r w:rsidRPr="002E21FE">
        <w:rPr>
          <w:rFonts w:ascii="Arial" w:eastAsia="Arial" w:hAnsi="Arial" w:cs="Arial"/>
          <w:sz w:val="24"/>
        </w:rPr>
        <w:t>Monday, April 15, 2019</w:t>
      </w:r>
    </w:p>
    <w:p w:rsidR="00E75E13" w:rsidRPr="00805740" w:rsidRDefault="00A4648A" w:rsidP="00483DFE">
      <w:pPr>
        <w:tabs>
          <w:tab w:val="left" w:pos="2520"/>
        </w:tabs>
        <w:spacing w:after="240" w:line="480" w:lineRule="auto"/>
        <w:ind w:left="2880" w:hanging="2880"/>
        <w:jc w:val="both"/>
        <w:rPr>
          <w:rFonts w:ascii="Arial" w:hAnsi="Arial" w:cs="Arial"/>
          <w:sz w:val="24"/>
        </w:rPr>
      </w:pPr>
      <w:r>
        <w:rPr>
          <w:rFonts w:ascii="Arial" w:eastAsia="Arial" w:hAnsi="Arial" w:cs="Arial"/>
          <w:b/>
          <w:sz w:val="24"/>
        </w:rPr>
        <w:t>Verdict</w:t>
      </w:r>
      <w:r w:rsidR="002E21FE" w:rsidRPr="002E21FE">
        <w:rPr>
          <w:rFonts w:ascii="Arial" w:eastAsia="Arial" w:hAnsi="Arial" w:cs="Arial"/>
          <w:b/>
          <w:sz w:val="24"/>
        </w:rPr>
        <w:t xml:space="preserve"> Summary</w:t>
      </w:r>
      <w:r w:rsidR="001E1D48" w:rsidRPr="00805740">
        <w:rPr>
          <w:rFonts w:ascii="Arial" w:eastAsia="Arial" w:hAnsi="Arial" w:cs="Arial"/>
          <w:sz w:val="24"/>
        </w:rPr>
        <w:t xml:space="preserve">    </w:t>
      </w:r>
      <w:r w:rsidR="00805740">
        <w:rPr>
          <w:rFonts w:ascii="Arial" w:eastAsia="Arial" w:hAnsi="Arial" w:cs="Arial"/>
          <w:sz w:val="24"/>
        </w:rPr>
        <w:tab/>
      </w:r>
      <w:r w:rsidR="001E1D48" w:rsidRPr="00805740">
        <w:rPr>
          <w:rFonts w:ascii="Arial" w:eastAsia="Arial" w:hAnsi="Arial" w:cs="Arial"/>
          <w:sz w:val="24"/>
        </w:rPr>
        <w:t>:</w:t>
      </w:r>
      <w:r w:rsidR="00805740">
        <w:rPr>
          <w:rFonts w:ascii="Arial" w:eastAsia="Arial" w:hAnsi="Arial" w:cs="Arial"/>
          <w:sz w:val="24"/>
        </w:rPr>
        <w:tab/>
      </w:r>
    </w:p>
    <w:p w:rsidR="00E75E13" w:rsidRPr="00805740" w:rsidRDefault="002E21FE" w:rsidP="00483DFE">
      <w:pPr>
        <w:spacing w:after="240" w:line="480" w:lineRule="auto"/>
        <w:ind w:firstLine="720"/>
        <w:jc w:val="both"/>
        <w:rPr>
          <w:rFonts w:ascii="Arial" w:hAnsi="Arial" w:cs="Arial"/>
          <w:sz w:val="24"/>
        </w:rPr>
      </w:pPr>
      <w:r w:rsidRPr="002E21FE">
        <w:rPr>
          <w:rFonts w:ascii="Arial" w:eastAsia="Arial" w:hAnsi="Arial" w:cs="Arial"/>
          <w:sz w:val="24"/>
        </w:rPr>
        <w:t xml:space="preserve">Whereas related to the authority of the Court, because the Petitioner's petition is a constitutional review of the law, in </w:t>
      </w:r>
      <w:r>
        <w:rPr>
          <w:rFonts w:ascii="Arial" w:eastAsia="Arial" w:hAnsi="Arial" w:cs="Arial"/>
          <w:sz w:val="24"/>
        </w:rPr>
        <w:t xml:space="preserve">this </w:t>
      </w:r>
      <w:r w:rsidRPr="002E21FE">
        <w:rPr>
          <w:rFonts w:ascii="Arial" w:eastAsia="Arial" w:hAnsi="Arial" w:cs="Arial"/>
          <w:sz w:val="24"/>
        </w:rPr>
        <w:t>cas</w:t>
      </w:r>
      <w:r>
        <w:rPr>
          <w:rFonts w:ascii="Arial" w:eastAsia="Arial" w:hAnsi="Arial" w:cs="Arial"/>
          <w:sz w:val="24"/>
        </w:rPr>
        <w:t>e</w:t>
      </w:r>
      <w:r w:rsidRPr="002E21FE">
        <w:rPr>
          <w:rFonts w:ascii="Arial" w:eastAsia="Arial" w:hAnsi="Arial" w:cs="Arial"/>
          <w:sz w:val="24"/>
        </w:rPr>
        <w:t xml:space="preserve"> Article 42 paragraph (2) of Law </w:t>
      </w:r>
      <w:r w:rsidRPr="002E21FE">
        <w:rPr>
          <w:rFonts w:ascii="Arial" w:eastAsia="Arial" w:hAnsi="Arial" w:cs="Arial"/>
          <w:sz w:val="24"/>
        </w:rPr>
        <w:lastRenderedPageBreak/>
        <w:t xml:space="preserve">Number 36 </w:t>
      </w:r>
      <w:r>
        <w:rPr>
          <w:rFonts w:ascii="Arial" w:eastAsia="Arial" w:hAnsi="Arial" w:cs="Arial"/>
          <w:sz w:val="24"/>
        </w:rPr>
        <w:t>of</w:t>
      </w:r>
      <w:r w:rsidRPr="002E21FE">
        <w:rPr>
          <w:rFonts w:ascii="Arial" w:eastAsia="Arial" w:hAnsi="Arial" w:cs="Arial"/>
          <w:sz w:val="24"/>
        </w:rPr>
        <w:t xml:space="preserve"> 1999 </w:t>
      </w:r>
      <w:r>
        <w:rPr>
          <w:rFonts w:ascii="Arial" w:eastAsia="Arial" w:hAnsi="Arial" w:cs="Arial"/>
          <w:sz w:val="24"/>
        </w:rPr>
        <w:t>regard</w:t>
      </w:r>
      <w:r w:rsidRPr="002E21FE">
        <w:rPr>
          <w:rFonts w:ascii="Arial" w:eastAsia="Arial" w:hAnsi="Arial" w:cs="Arial"/>
          <w:sz w:val="24"/>
        </w:rPr>
        <w:t xml:space="preserve">ing Telecommunications </w:t>
      </w:r>
      <w:r>
        <w:rPr>
          <w:rFonts w:ascii="Arial" w:eastAsia="Arial" w:hAnsi="Arial" w:cs="Arial"/>
          <w:sz w:val="24"/>
        </w:rPr>
        <w:t>against</w:t>
      </w:r>
      <w:r w:rsidRPr="002E21FE">
        <w:rPr>
          <w:rFonts w:ascii="Arial" w:eastAsia="Arial" w:hAnsi="Arial" w:cs="Arial"/>
          <w:sz w:val="24"/>
        </w:rPr>
        <w:t xml:space="preserve"> the 1945 Constitution. Therefore, the Court has the authority to hear a quo petition.</w:t>
      </w:r>
    </w:p>
    <w:p w:rsidR="00D80AC0" w:rsidRDefault="002E21FE" w:rsidP="00483DFE">
      <w:pPr>
        <w:spacing w:after="240" w:line="480" w:lineRule="auto"/>
        <w:ind w:firstLine="720"/>
        <w:jc w:val="both"/>
        <w:rPr>
          <w:rFonts w:ascii="Arial" w:eastAsia="Arial" w:hAnsi="Arial" w:cs="Arial"/>
          <w:sz w:val="24"/>
        </w:rPr>
      </w:pPr>
      <w:r>
        <w:rPr>
          <w:rFonts w:ascii="Arial" w:eastAsia="Arial" w:hAnsi="Arial" w:cs="Arial"/>
          <w:sz w:val="24"/>
        </w:rPr>
        <w:t>Whereas</w:t>
      </w:r>
      <w:r w:rsidRPr="002E21FE">
        <w:rPr>
          <w:rFonts w:ascii="Arial" w:eastAsia="Arial" w:hAnsi="Arial" w:cs="Arial"/>
          <w:sz w:val="24"/>
        </w:rPr>
        <w:t xml:space="preserve"> related to the legal </w:t>
      </w:r>
      <w:r>
        <w:rPr>
          <w:rFonts w:ascii="Arial" w:eastAsia="Arial" w:hAnsi="Arial" w:cs="Arial"/>
          <w:sz w:val="24"/>
        </w:rPr>
        <w:t>standing</w:t>
      </w:r>
      <w:r w:rsidRPr="002E21FE">
        <w:rPr>
          <w:rFonts w:ascii="Arial" w:eastAsia="Arial" w:hAnsi="Arial" w:cs="Arial"/>
          <w:sz w:val="24"/>
        </w:rPr>
        <w:t xml:space="preserve"> of the Petitioner, the Petitioner is an individual Indonesian citizen. As far as Article 28D Paragraph (1) of the 1945 Constitution the Petitioner has clearly outlined his </w:t>
      </w:r>
      <w:r>
        <w:rPr>
          <w:rFonts w:ascii="Arial" w:eastAsia="Arial" w:hAnsi="Arial" w:cs="Arial"/>
          <w:sz w:val="24"/>
        </w:rPr>
        <w:t>assumption</w:t>
      </w:r>
      <w:r w:rsidRPr="002E21FE">
        <w:rPr>
          <w:rFonts w:ascii="Arial" w:eastAsia="Arial" w:hAnsi="Arial" w:cs="Arial"/>
          <w:sz w:val="24"/>
        </w:rPr>
        <w:t xml:space="preserve"> regarding the constitutional rights impaired by the </w:t>
      </w:r>
      <w:r w:rsidR="00D80AC0">
        <w:rPr>
          <w:rFonts w:ascii="Arial" w:eastAsia="Arial" w:hAnsi="Arial" w:cs="Arial"/>
          <w:sz w:val="24"/>
        </w:rPr>
        <w:t>enactment</w:t>
      </w:r>
      <w:r w:rsidRPr="002E21FE">
        <w:rPr>
          <w:rFonts w:ascii="Arial" w:eastAsia="Arial" w:hAnsi="Arial" w:cs="Arial"/>
          <w:sz w:val="24"/>
        </w:rPr>
        <w:t xml:space="preserve"> of the norms of Article 42 paragraph (2) of the Telecommunications Law and such assumptions are actual and clear causal relationships, so that if the petition is granted the </w:t>
      </w:r>
      <w:r w:rsidR="00D80AC0" w:rsidRPr="00D80AC0">
        <w:rPr>
          <w:rFonts w:ascii="Arial" w:eastAsia="Arial" w:hAnsi="Arial" w:cs="Arial"/>
          <w:sz w:val="24"/>
        </w:rPr>
        <w:t xml:space="preserve">assumed </w:t>
      </w:r>
      <w:r w:rsidRPr="002E21FE">
        <w:rPr>
          <w:rFonts w:ascii="Arial" w:eastAsia="Arial" w:hAnsi="Arial" w:cs="Arial"/>
          <w:sz w:val="24"/>
        </w:rPr>
        <w:t xml:space="preserve">impairment </w:t>
      </w:r>
      <w:r w:rsidR="00D80AC0" w:rsidRPr="00D80AC0">
        <w:rPr>
          <w:rFonts w:ascii="Arial" w:eastAsia="Arial" w:hAnsi="Arial" w:cs="Arial"/>
          <w:sz w:val="24"/>
        </w:rPr>
        <w:t>no longer occurs</w:t>
      </w:r>
      <w:r w:rsidRPr="002E21FE">
        <w:rPr>
          <w:rFonts w:ascii="Arial" w:eastAsia="Arial" w:hAnsi="Arial" w:cs="Arial"/>
          <w:sz w:val="24"/>
        </w:rPr>
        <w:t>.</w:t>
      </w:r>
      <w:r w:rsidR="001E1D48" w:rsidRPr="00805740">
        <w:rPr>
          <w:rFonts w:ascii="Arial" w:eastAsia="Arial" w:hAnsi="Arial" w:cs="Arial"/>
          <w:sz w:val="24"/>
        </w:rPr>
        <w:t xml:space="preserve"> </w:t>
      </w:r>
      <w:r w:rsidR="00D80AC0" w:rsidRPr="00D80AC0">
        <w:rPr>
          <w:rFonts w:ascii="Arial" w:eastAsia="Arial" w:hAnsi="Arial" w:cs="Arial"/>
          <w:sz w:val="24"/>
        </w:rPr>
        <w:t xml:space="preserve">Meanwhile, related to Article 1 paragraph (3) of the 1945 Constitution, because it does not regulate constitutional rights, there is no relevance to the assumed impairment of constitutional rights. Thus, insofar as it relates to the constitutional rights </w:t>
      </w:r>
      <w:r w:rsidR="00D80AC0">
        <w:rPr>
          <w:rFonts w:ascii="Arial" w:eastAsia="Arial" w:hAnsi="Arial" w:cs="Arial"/>
          <w:sz w:val="24"/>
        </w:rPr>
        <w:t xml:space="preserve">as provided for </w:t>
      </w:r>
      <w:r w:rsidR="00D80AC0" w:rsidRPr="00D80AC0">
        <w:rPr>
          <w:rFonts w:ascii="Arial" w:eastAsia="Arial" w:hAnsi="Arial" w:cs="Arial"/>
          <w:sz w:val="24"/>
        </w:rPr>
        <w:t xml:space="preserve">in Article 28D paragraph (1) of the 1945 Constitution, the Petitioner has the legal </w:t>
      </w:r>
      <w:r w:rsidR="00D80AC0">
        <w:rPr>
          <w:rFonts w:ascii="Arial" w:eastAsia="Arial" w:hAnsi="Arial" w:cs="Arial"/>
          <w:sz w:val="24"/>
        </w:rPr>
        <w:t>standing</w:t>
      </w:r>
      <w:r w:rsidR="00D80AC0" w:rsidRPr="00D80AC0">
        <w:rPr>
          <w:rFonts w:ascii="Arial" w:eastAsia="Arial" w:hAnsi="Arial" w:cs="Arial"/>
          <w:sz w:val="24"/>
        </w:rPr>
        <w:t xml:space="preserve"> to act as the Petitioner in a quo petition.</w:t>
      </w:r>
    </w:p>
    <w:p w:rsidR="00E75E13" w:rsidRPr="00805740" w:rsidRDefault="00D80AC0" w:rsidP="00483DFE">
      <w:pPr>
        <w:spacing w:after="240" w:line="480" w:lineRule="auto"/>
        <w:ind w:firstLine="720"/>
        <w:jc w:val="both"/>
        <w:rPr>
          <w:rFonts w:ascii="Arial" w:hAnsi="Arial" w:cs="Arial"/>
          <w:sz w:val="24"/>
        </w:rPr>
      </w:pPr>
      <w:r w:rsidRPr="00D80AC0">
        <w:rPr>
          <w:rFonts w:ascii="Arial" w:eastAsia="Arial" w:hAnsi="Arial" w:cs="Arial"/>
          <w:sz w:val="24"/>
        </w:rPr>
        <w:t xml:space="preserve">Whereas the Petitioner's argument which states the provisions of Article 42 paragraph (2) of the Telecommunications Law is contrary to the principle of due process of law because it does not provide the same </w:t>
      </w:r>
      <w:r>
        <w:rPr>
          <w:rFonts w:ascii="Arial" w:eastAsia="Arial" w:hAnsi="Arial" w:cs="Arial"/>
          <w:sz w:val="24"/>
        </w:rPr>
        <w:t>legal standing</w:t>
      </w:r>
      <w:r w:rsidRPr="00D80AC0">
        <w:rPr>
          <w:rFonts w:ascii="Arial" w:eastAsia="Arial" w:hAnsi="Arial" w:cs="Arial"/>
          <w:sz w:val="24"/>
        </w:rPr>
        <w:t xml:space="preserve"> between the suspect/defendant and law enforcement officers in undergoing a criminal justice process, thus contradicting Article 1 paragraph (3)</w:t>
      </w:r>
      <w:r>
        <w:rPr>
          <w:rFonts w:ascii="Arial" w:eastAsia="Arial" w:hAnsi="Arial" w:cs="Arial"/>
          <w:sz w:val="24"/>
        </w:rPr>
        <w:t xml:space="preserve"> of t</w:t>
      </w:r>
      <w:r w:rsidRPr="00D80AC0">
        <w:rPr>
          <w:rFonts w:ascii="Arial" w:eastAsia="Arial" w:hAnsi="Arial" w:cs="Arial"/>
          <w:sz w:val="24"/>
        </w:rPr>
        <w:t xml:space="preserve">he 1945 Constitution is a groundless argument. Because the essence of the principle of due process of law is the recognition of the right of the suspect/defendant to obtain a fair and proper legal process. The definition of fair and proper here is to provide equal treatment in accordance with their rights that may not conflict with the provisions of </w:t>
      </w:r>
      <w:r w:rsidR="001B2BF6" w:rsidRPr="001B2BF6">
        <w:rPr>
          <w:rFonts w:ascii="Arial" w:eastAsia="Arial" w:hAnsi="Arial" w:cs="Arial"/>
          <w:sz w:val="24"/>
        </w:rPr>
        <w:t>laws and regulations</w:t>
      </w:r>
      <w:r w:rsidRPr="00D80AC0">
        <w:rPr>
          <w:rFonts w:ascii="Arial" w:eastAsia="Arial" w:hAnsi="Arial" w:cs="Arial"/>
          <w:sz w:val="24"/>
        </w:rPr>
        <w:t>.</w:t>
      </w:r>
      <w:r>
        <w:rPr>
          <w:rFonts w:ascii="Arial" w:eastAsia="Arial" w:hAnsi="Arial" w:cs="Arial"/>
          <w:sz w:val="24"/>
        </w:rPr>
        <w:t xml:space="preserve"> </w:t>
      </w:r>
      <w:r w:rsidR="001E1D48" w:rsidRPr="00805740">
        <w:rPr>
          <w:rFonts w:ascii="Arial" w:eastAsia="Arial" w:hAnsi="Arial" w:cs="Arial"/>
          <w:sz w:val="24"/>
        </w:rPr>
        <w:t xml:space="preserve"> </w:t>
      </w:r>
      <w:r w:rsidR="00C92CC8" w:rsidRPr="00C92CC8">
        <w:rPr>
          <w:rFonts w:ascii="Arial" w:eastAsia="Arial" w:hAnsi="Arial" w:cs="Arial"/>
          <w:sz w:val="24"/>
        </w:rPr>
        <w:t xml:space="preserve">Therefore, in the context of the right of the suspect/defendant to obtain evidence of the results of telecommunications information records, </w:t>
      </w:r>
      <w:r w:rsidR="00C92CC8">
        <w:rPr>
          <w:rFonts w:ascii="Arial" w:eastAsia="Arial" w:hAnsi="Arial" w:cs="Arial"/>
          <w:sz w:val="24"/>
        </w:rPr>
        <w:t xml:space="preserve">in </w:t>
      </w:r>
      <w:r w:rsidR="00C92CC8" w:rsidRPr="00C92CC8">
        <w:rPr>
          <w:rFonts w:ascii="Arial" w:eastAsia="Arial" w:hAnsi="Arial" w:cs="Arial"/>
          <w:sz w:val="24"/>
        </w:rPr>
        <w:t xml:space="preserve">which also lies </w:t>
      </w:r>
      <w:r w:rsidR="00C92CC8" w:rsidRPr="00C92CC8">
        <w:rPr>
          <w:rFonts w:ascii="Arial" w:eastAsia="Arial" w:hAnsi="Arial" w:cs="Arial"/>
          <w:sz w:val="24"/>
        </w:rPr>
        <w:lastRenderedPageBreak/>
        <w:t>another person's privacy who must be protected, the</w:t>
      </w:r>
      <w:r w:rsidR="00C92CC8">
        <w:rPr>
          <w:rFonts w:ascii="Arial" w:eastAsia="Arial" w:hAnsi="Arial" w:cs="Arial"/>
          <w:sz w:val="24"/>
        </w:rPr>
        <w:t xml:space="preserve">n </w:t>
      </w:r>
      <w:r w:rsidR="00C92CC8" w:rsidRPr="00C92CC8">
        <w:rPr>
          <w:rFonts w:ascii="Arial" w:eastAsia="Arial" w:hAnsi="Arial" w:cs="Arial"/>
          <w:sz w:val="24"/>
        </w:rPr>
        <w:t xml:space="preserve">such matters are only limitedly given to the Attorney General and the Chief of Police of the Republic of Indonesia in relation to law enforcement. Therefore, it actually does not </w:t>
      </w:r>
      <w:r w:rsidR="00C92CC8">
        <w:rPr>
          <w:rFonts w:ascii="Arial" w:eastAsia="Arial" w:hAnsi="Arial" w:cs="Arial"/>
          <w:sz w:val="24"/>
        </w:rPr>
        <w:t>immediately</w:t>
      </w:r>
      <w:r w:rsidR="00C92CC8" w:rsidRPr="00C92CC8">
        <w:rPr>
          <w:rFonts w:ascii="Arial" w:eastAsia="Arial" w:hAnsi="Arial" w:cs="Arial"/>
          <w:sz w:val="24"/>
        </w:rPr>
        <w:t xml:space="preserve"> treat unfairly and appropriately the rights of the suspect/defendant.</w:t>
      </w:r>
      <w:r w:rsidR="00C92CC8">
        <w:rPr>
          <w:rFonts w:ascii="Arial" w:eastAsia="Arial" w:hAnsi="Arial" w:cs="Arial"/>
          <w:sz w:val="24"/>
        </w:rPr>
        <w:t xml:space="preserve"> </w:t>
      </w:r>
    </w:p>
    <w:p w:rsidR="00E75E13" w:rsidRPr="00805740" w:rsidRDefault="00C92CC8" w:rsidP="00483DFE">
      <w:pPr>
        <w:spacing w:after="240" w:line="480" w:lineRule="auto"/>
        <w:ind w:firstLine="720"/>
        <w:jc w:val="both"/>
        <w:rPr>
          <w:rFonts w:ascii="Arial" w:hAnsi="Arial" w:cs="Arial"/>
          <w:sz w:val="24"/>
        </w:rPr>
      </w:pPr>
      <w:r w:rsidRPr="00C92CC8">
        <w:rPr>
          <w:rFonts w:ascii="Arial" w:eastAsia="Arial" w:hAnsi="Arial" w:cs="Arial"/>
          <w:sz w:val="24"/>
        </w:rPr>
        <w:t>Whereas the Petitioners' argument which states the provisions of Article 42 paragraph (2) of the Telecommunications Law is unable to provide legal certainty and fair leg</w:t>
      </w:r>
      <w:r>
        <w:rPr>
          <w:rFonts w:ascii="Arial" w:eastAsia="Arial" w:hAnsi="Arial" w:cs="Arial"/>
          <w:sz w:val="24"/>
        </w:rPr>
        <w:t>al protection for the suspect/</w:t>
      </w:r>
      <w:r w:rsidRPr="00C92CC8">
        <w:rPr>
          <w:rFonts w:ascii="Arial" w:eastAsia="Arial" w:hAnsi="Arial" w:cs="Arial"/>
          <w:sz w:val="24"/>
        </w:rPr>
        <w:t>defendant, in th</w:t>
      </w:r>
      <w:r w:rsidR="005C1D54">
        <w:rPr>
          <w:rFonts w:ascii="Arial" w:eastAsia="Arial" w:hAnsi="Arial" w:cs="Arial"/>
          <w:sz w:val="24"/>
        </w:rPr>
        <w:t>is</w:t>
      </w:r>
      <w:r w:rsidRPr="00C92CC8">
        <w:rPr>
          <w:rFonts w:ascii="Arial" w:eastAsia="Arial" w:hAnsi="Arial" w:cs="Arial"/>
          <w:sz w:val="24"/>
        </w:rPr>
        <w:t xml:space="preserve"> case the Petitioner, to </w:t>
      </w:r>
      <w:r w:rsidR="005C1D54">
        <w:rPr>
          <w:rFonts w:ascii="Arial" w:eastAsia="Arial" w:hAnsi="Arial" w:cs="Arial"/>
          <w:sz w:val="24"/>
        </w:rPr>
        <w:t>file</w:t>
      </w:r>
      <w:r w:rsidRPr="00C92CC8">
        <w:rPr>
          <w:rFonts w:ascii="Arial" w:eastAsia="Arial" w:hAnsi="Arial" w:cs="Arial"/>
          <w:sz w:val="24"/>
        </w:rPr>
        <w:t xml:space="preserve"> their own recorded conversation as evidence for the purposes of defense while undergoing a criminal justice process, thus contradicting Article 28D paragraph (1) of the 1945 Constitution is unwarranted according to the law because the exception as </w:t>
      </w:r>
      <w:r w:rsidR="005C1D54">
        <w:rPr>
          <w:rFonts w:ascii="Arial" w:eastAsia="Arial" w:hAnsi="Arial" w:cs="Arial"/>
          <w:sz w:val="24"/>
        </w:rPr>
        <w:t>provid</w:t>
      </w:r>
      <w:r w:rsidRPr="00C92CC8">
        <w:rPr>
          <w:rFonts w:ascii="Arial" w:eastAsia="Arial" w:hAnsi="Arial" w:cs="Arial"/>
          <w:sz w:val="24"/>
        </w:rPr>
        <w:t>ed</w:t>
      </w:r>
      <w:r w:rsidR="005C1D54">
        <w:rPr>
          <w:rFonts w:ascii="Arial" w:eastAsia="Arial" w:hAnsi="Arial" w:cs="Arial"/>
          <w:sz w:val="24"/>
        </w:rPr>
        <w:t xml:space="preserve"> for</w:t>
      </w:r>
      <w:r w:rsidRPr="00C92CC8">
        <w:rPr>
          <w:rFonts w:ascii="Arial" w:eastAsia="Arial" w:hAnsi="Arial" w:cs="Arial"/>
          <w:sz w:val="24"/>
        </w:rPr>
        <w:t xml:space="preserve"> in the provisions of Article 42 paragraph (2) of the Telecommunications Law, namely by providing space for law enforcement offic</w:t>
      </w:r>
      <w:r w:rsidR="005C1D54">
        <w:rPr>
          <w:rFonts w:ascii="Arial" w:eastAsia="Arial" w:hAnsi="Arial" w:cs="Arial"/>
          <w:sz w:val="24"/>
        </w:rPr>
        <w:t>ers</w:t>
      </w:r>
      <w:r w:rsidRPr="00C92CC8">
        <w:rPr>
          <w:rFonts w:ascii="Arial" w:eastAsia="Arial" w:hAnsi="Arial" w:cs="Arial"/>
          <w:sz w:val="24"/>
        </w:rPr>
        <w:t xml:space="preserve"> to obtain recorded personal information is not something that violates law.</w:t>
      </w:r>
      <w:r>
        <w:rPr>
          <w:rFonts w:ascii="Arial" w:eastAsia="Arial" w:hAnsi="Arial" w:cs="Arial"/>
          <w:sz w:val="24"/>
        </w:rPr>
        <w:t xml:space="preserve"> </w:t>
      </w:r>
      <w:r w:rsidR="001E1D48" w:rsidRPr="00805740">
        <w:rPr>
          <w:rFonts w:ascii="Arial" w:eastAsia="Arial" w:hAnsi="Arial" w:cs="Arial"/>
          <w:sz w:val="24"/>
        </w:rPr>
        <w:t xml:space="preserve"> </w:t>
      </w:r>
      <w:r w:rsidR="008025D0" w:rsidRPr="008025D0">
        <w:rPr>
          <w:rFonts w:ascii="Arial" w:eastAsia="Arial" w:hAnsi="Arial" w:cs="Arial"/>
          <w:sz w:val="24"/>
        </w:rPr>
        <w:t>Moreover, this is an attempt by the Public Prosecutor to carry out his obligations to prove his indictment in the criminal justice process. O</w:t>
      </w:r>
      <w:r w:rsidR="008025D0">
        <w:rPr>
          <w:rFonts w:ascii="Arial" w:eastAsia="Arial" w:hAnsi="Arial" w:cs="Arial"/>
          <w:sz w:val="24"/>
        </w:rPr>
        <w:t>therwise</w:t>
      </w:r>
      <w:r w:rsidR="008025D0" w:rsidRPr="008025D0">
        <w:rPr>
          <w:rFonts w:ascii="Arial" w:eastAsia="Arial" w:hAnsi="Arial" w:cs="Arial"/>
          <w:sz w:val="24"/>
        </w:rPr>
        <w:t>, if Article 42 paragraph (2) of the Telecommunications Law is granted an exception as desired by the Petitioner as s</w:t>
      </w:r>
      <w:r w:rsidR="008025D0">
        <w:rPr>
          <w:rFonts w:ascii="Arial" w:eastAsia="Arial" w:hAnsi="Arial" w:cs="Arial"/>
          <w:sz w:val="24"/>
        </w:rPr>
        <w:t>e</w:t>
      </w:r>
      <w:r w:rsidR="008025D0" w:rsidRPr="008025D0">
        <w:rPr>
          <w:rFonts w:ascii="Arial" w:eastAsia="Arial" w:hAnsi="Arial" w:cs="Arial"/>
          <w:sz w:val="24"/>
        </w:rPr>
        <w:t>t</w:t>
      </w:r>
      <w:r w:rsidR="008025D0">
        <w:rPr>
          <w:rFonts w:ascii="Arial" w:eastAsia="Arial" w:hAnsi="Arial" w:cs="Arial"/>
          <w:sz w:val="24"/>
        </w:rPr>
        <w:t xml:space="preserve"> out </w:t>
      </w:r>
      <w:r w:rsidR="008025D0" w:rsidRPr="008025D0">
        <w:rPr>
          <w:rFonts w:ascii="Arial" w:eastAsia="Arial" w:hAnsi="Arial" w:cs="Arial"/>
          <w:sz w:val="24"/>
        </w:rPr>
        <w:t xml:space="preserve">in </w:t>
      </w:r>
      <w:r w:rsidR="008025D0">
        <w:rPr>
          <w:rFonts w:ascii="Arial" w:eastAsia="Arial" w:hAnsi="Arial" w:cs="Arial"/>
          <w:sz w:val="24"/>
        </w:rPr>
        <w:t>his</w:t>
      </w:r>
      <w:r w:rsidR="008025D0" w:rsidRPr="008025D0">
        <w:rPr>
          <w:rFonts w:ascii="Arial" w:eastAsia="Arial" w:hAnsi="Arial" w:cs="Arial"/>
          <w:sz w:val="24"/>
        </w:rPr>
        <w:t xml:space="preserve"> petition, this can actually lead to the potential misuse of information and the violation of personal information of other parties because </w:t>
      </w:r>
      <w:r w:rsidR="008025D0">
        <w:rPr>
          <w:rFonts w:ascii="Arial" w:eastAsia="Arial" w:hAnsi="Arial" w:cs="Arial"/>
          <w:sz w:val="24"/>
        </w:rPr>
        <w:t>such</w:t>
      </w:r>
      <w:r w:rsidR="008025D0" w:rsidRPr="008025D0">
        <w:rPr>
          <w:rFonts w:ascii="Arial" w:eastAsia="Arial" w:hAnsi="Arial" w:cs="Arial"/>
          <w:sz w:val="24"/>
        </w:rPr>
        <w:t xml:space="preserve"> record</w:t>
      </w:r>
      <w:r w:rsidR="008025D0">
        <w:rPr>
          <w:rFonts w:ascii="Arial" w:eastAsia="Arial" w:hAnsi="Arial" w:cs="Arial"/>
          <w:sz w:val="24"/>
        </w:rPr>
        <w:t xml:space="preserve">ed </w:t>
      </w:r>
      <w:r w:rsidR="008025D0" w:rsidRPr="008025D0">
        <w:rPr>
          <w:rFonts w:ascii="Arial" w:eastAsia="Arial" w:hAnsi="Arial" w:cs="Arial"/>
          <w:sz w:val="24"/>
        </w:rPr>
        <w:t>information is not only related to his personal, but also other people's privacy rights.</w:t>
      </w:r>
    </w:p>
    <w:p w:rsidR="00E75E13" w:rsidRPr="00805740" w:rsidRDefault="008025D0" w:rsidP="00483DFE">
      <w:pPr>
        <w:spacing w:after="240" w:line="480" w:lineRule="auto"/>
        <w:ind w:firstLine="720"/>
        <w:jc w:val="both"/>
        <w:rPr>
          <w:rFonts w:ascii="Arial" w:hAnsi="Arial" w:cs="Arial"/>
          <w:sz w:val="24"/>
        </w:rPr>
      </w:pPr>
      <w:r w:rsidRPr="008025D0">
        <w:rPr>
          <w:rFonts w:ascii="Arial" w:eastAsia="Arial" w:hAnsi="Arial" w:cs="Arial"/>
          <w:sz w:val="24"/>
        </w:rPr>
        <w:t>Whereas the Petitioner's argument which contradicts Article 42 paragraph (2) of the Telecommunications Law with Article 28D paragraph (1) of the 1945 Constitution results in the impairment of the Petitioner's right to a fair trial because he is unable to provide legal protection against the suspect/defendant, in th</w:t>
      </w:r>
      <w:r w:rsidR="00ED59C4">
        <w:rPr>
          <w:rFonts w:ascii="Arial" w:eastAsia="Arial" w:hAnsi="Arial" w:cs="Arial"/>
          <w:sz w:val="24"/>
        </w:rPr>
        <w:t>is case the</w:t>
      </w:r>
      <w:r w:rsidRPr="008025D0">
        <w:rPr>
          <w:rFonts w:ascii="Arial" w:eastAsia="Arial" w:hAnsi="Arial" w:cs="Arial"/>
          <w:sz w:val="24"/>
        </w:rPr>
        <w:t xml:space="preserve"> Petitioner, to counter the accusations</w:t>
      </w:r>
      <w:r w:rsidR="00ED59C4">
        <w:rPr>
          <w:rFonts w:ascii="Arial" w:eastAsia="Arial" w:hAnsi="Arial" w:cs="Arial"/>
          <w:sz w:val="24"/>
        </w:rPr>
        <w:t xml:space="preserve"> of t</w:t>
      </w:r>
      <w:r w:rsidRPr="008025D0">
        <w:rPr>
          <w:rFonts w:ascii="Arial" w:eastAsia="Arial" w:hAnsi="Arial" w:cs="Arial"/>
          <w:sz w:val="24"/>
        </w:rPr>
        <w:t xml:space="preserve">he Public Prosecutor is </w:t>
      </w:r>
      <w:r w:rsidR="00ED59C4">
        <w:rPr>
          <w:rFonts w:ascii="Arial" w:eastAsia="Arial" w:hAnsi="Arial" w:cs="Arial"/>
          <w:sz w:val="24"/>
        </w:rPr>
        <w:t>groundless</w:t>
      </w:r>
      <w:r w:rsidRPr="008025D0">
        <w:rPr>
          <w:rFonts w:ascii="Arial" w:eastAsia="Arial" w:hAnsi="Arial" w:cs="Arial"/>
          <w:sz w:val="24"/>
        </w:rPr>
        <w:t xml:space="preserve"> according </w:t>
      </w:r>
      <w:r w:rsidRPr="008025D0">
        <w:rPr>
          <w:rFonts w:ascii="Arial" w:eastAsia="Arial" w:hAnsi="Arial" w:cs="Arial"/>
          <w:sz w:val="24"/>
        </w:rPr>
        <w:lastRenderedPageBreak/>
        <w:t>to the law because there is no evidence of conflict between Article 42 paragraph (2) of the Telecommunications Law and Article 28D paragraph (1) of the 1945 Constitution which results in the impairment of the Petitioner's right to a fair trial.</w:t>
      </w:r>
      <w:r w:rsidR="001E1D48" w:rsidRPr="00805740">
        <w:rPr>
          <w:rFonts w:ascii="Arial" w:eastAsia="Arial" w:hAnsi="Arial" w:cs="Arial"/>
          <w:sz w:val="24"/>
        </w:rPr>
        <w:t xml:space="preserve"> </w:t>
      </w:r>
      <w:r w:rsidR="00ED59C4" w:rsidRPr="00ED59C4">
        <w:rPr>
          <w:rFonts w:ascii="Arial" w:eastAsia="Arial" w:hAnsi="Arial" w:cs="Arial"/>
          <w:sz w:val="24"/>
        </w:rPr>
        <w:t>The inability of the Public Prosecutor to present the evidence requested by the Petitioner which then as argued by the Petitioner that the matter was approved by the Panel of Judges is not a matter of constitutionality of norms but rather related to implementation.</w:t>
      </w:r>
    </w:p>
    <w:p w:rsidR="00E75E13" w:rsidRDefault="00ED59C4" w:rsidP="00483DFE">
      <w:pPr>
        <w:spacing w:after="240" w:line="480" w:lineRule="auto"/>
        <w:ind w:firstLine="720"/>
        <w:jc w:val="both"/>
        <w:rPr>
          <w:rFonts w:ascii="Arial" w:eastAsia="Arial" w:hAnsi="Arial" w:cs="Arial"/>
          <w:sz w:val="24"/>
        </w:rPr>
      </w:pPr>
      <w:r w:rsidRPr="00ED59C4">
        <w:rPr>
          <w:rFonts w:ascii="Arial" w:eastAsia="Arial" w:hAnsi="Arial" w:cs="Arial"/>
          <w:sz w:val="24"/>
        </w:rPr>
        <w:t xml:space="preserve">Based on all of the above considerations, the Petitioner's petition is </w:t>
      </w:r>
      <w:r w:rsidR="00B405D4">
        <w:rPr>
          <w:rFonts w:ascii="Arial" w:eastAsia="Arial" w:hAnsi="Arial" w:cs="Arial"/>
          <w:sz w:val="24"/>
        </w:rPr>
        <w:t xml:space="preserve">no legal </w:t>
      </w:r>
      <w:r>
        <w:rPr>
          <w:rFonts w:ascii="Arial" w:eastAsia="Arial" w:hAnsi="Arial" w:cs="Arial"/>
          <w:sz w:val="24"/>
        </w:rPr>
        <w:t>ground</w:t>
      </w:r>
      <w:r w:rsidR="00B405D4">
        <w:rPr>
          <w:rFonts w:ascii="Arial" w:eastAsia="Arial" w:hAnsi="Arial" w:cs="Arial"/>
          <w:sz w:val="24"/>
        </w:rPr>
        <w:t>s</w:t>
      </w:r>
      <w:bookmarkStart w:id="0" w:name="_GoBack"/>
      <w:bookmarkEnd w:id="0"/>
      <w:r w:rsidRPr="00ED59C4">
        <w:rPr>
          <w:rFonts w:ascii="Arial" w:eastAsia="Arial" w:hAnsi="Arial" w:cs="Arial"/>
          <w:sz w:val="24"/>
        </w:rPr>
        <w:t xml:space="preserve"> in </w:t>
      </w:r>
      <w:r>
        <w:rPr>
          <w:rFonts w:ascii="Arial" w:eastAsia="Arial" w:hAnsi="Arial" w:cs="Arial"/>
          <w:sz w:val="24"/>
        </w:rPr>
        <w:t>their</w:t>
      </w:r>
      <w:r w:rsidRPr="00ED59C4">
        <w:rPr>
          <w:rFonts w:ascii="Arial" w:eastAsia="Arial" w:hAnsi="Arial" w:cs="Arial"/>
          <w:sz w:val="24"/>
        </w:rPr>
        <w:t xml:space="preserve"> entirety. Furthermore, the Court handed down the </w:t>
      </w:r>
      <w:r>
        <w:rPr>
          <w:rFonts w:ascii="Arial" w:eastAsia="Arial" w:hAnsi="Arial" w:cs="Arial"/>
          <w:sz w:val="24"/>
        </w:rPr>
        <w:t xml:space="preserve">decision </w:t>
      </w:r>
      <w:r w:rsidRPr="00ED59C4">
        <w:rPr>
          <w:rFonts w:ascii="Arial" w:eastAsia="Arial" w:hAnsi="Arial" w:cs="Arial"/>
          <w:sz w:val="24"/>
        </w:rPr>
        <w:t xml:space="preserve">with the </w:t>
      </w:r>
      <w:r>
        <w:rPr>
          <w:rFonts w:ascii="Arial" w:eastAsia="Arial" w:hAnsi="Arial" w:cs="Arial"/>
          <w:sz w:val="24"/>
        </w:rPr>
        <w:t xml:space="preserve">injunction </w:t>
      </w:r>
      <w:r w:rsidRPr="00ED59C4">
        <w:rPr>
          <w:rFonts w:ascii="Arial" w:eastAsia="Arial" w:hAnsi="Arial" w:cs="Arial"/>
          <w:sz w:val="24"/>
        </w:rPr>
        <w:t xml:space="preserve">rejecting the petition of the Petitioners in </w:t>
      </w:r>
      <w:r>
        <w:rPr>
          <w:rFonts w:ascii="Arial" w:eastAsia="Arial" w:hAnsi="Arial" w:cs="Arial"/>
          <w:sz w:val="24"/>
        </w:rPr>
        <w:t>their</w:t>
      </w:r>
      <w:r w:rsidRPr="00ED59C4">
        <w:rPr>
          <w:rFonts w:ascii="Arial" w:eastAsia="Arial" w:hAnsi="Arial" w:cs="Arial"/>
          <w:sz w:val="24"/>
        </w:rPr>
        <w:t xml:space="preserve"> entirety.</w:t>
      </w:r>
      <w:r>
        <w:rPr>
          <w:rFonts w:ascii="Arial" w:eastAsia="Arial" w:hAnsi="Arial" w:cs="Arial"/>
          <w:sz w:val="24"/>
        </w:rPr>
        <w:t xml:space="preserve"> </w:t>
      </w:r>
    </w:p>
    <w:p w:rsidR="007361E1" w:rsidRDefault="007361E1" w:rsidP="007361E1">
      <w:pPr>
        <w:spacing w:line="480" w:lineRule="auto"/>
        <w:jc w:val="both"/>
        <w:rPr>
          <w:rFonts w:ascii="Arial" w:hAnsi="Arial" w:cs="Arial"/>
          <w:sz w:val="24"/>
          <w:szCs w:val="24"/>
        </w:rPr>
      </w:pPr>
    </w:p>
    <w:p w:rsidR="007361E1" w:rsidRDefault="007361E1" w:rsidP="007361E1">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7361E1" w:rsidRDefault="007361E1" w:rsidP="007361E1">
      <w:pPr>
        <w:ind w:right="29"/>
        <w:jc w:val="right"/>
        <w:rPr>
          <w:rFonts w:ascii="Arial" w:hAnsi="Arial" w:cs="Arial"/>
        </w:rPr>
      </w:pPr>
      <w:r>
        <w:rPr>
          <w:rFonts w:ascii="Arial" w:hAnsi="Arial" w:cs="Arial"/>
        </w:rPr>
        <w:t>the Authorized and Sworn Translator in Jakarta - Indonesia</w:t>
      </w:r>
    </w:p>
    <w:p w:rsidR="007361E1" w:rsidRDefault="007361E1" w:rsidP="007361E1">
      <w:pPr>
        <w:jc w:val="right"/>
        <w:rPr>
          <w:rFonts w:ascii="Arial" w:hAnsi="Arial" w:cs="Arial"/>
        </w:rPr>
      </w:pPr>
    </w:p>
    <w:p w:rsidR="007361E1" w:rsidRPr="00805740" w:rsidRDefault="007361E1" w:rsidP="007361E1">
      <w:pPr>
        <w:spacing w:after="240" w:line="480" w:lineRule="auto"/>
        <w:jc w:val="right"/>
        <w:rPr>
          <w:rFonts w:ascii="Arial" w:eastAsia="Arial" w:hAnsi="Arial" w:cs="Arial"/>
          <w:sz w:val="24"/>
        </w:rPr>
      </w:pPr>
      <w:r>
        <w:rPr>
          <w:rFonts w:ascii="Arial" w:hAnsi="Arial" w:cs="Arial"/>
        </w:rPr>
        <w:t>JAKARTA, June 24, 2020</w:t>
      </w:r>
    </w:p>
    <w:sectPr w:rsidR="007361E1" w:rsidRPr="00805740" w:rsidSect="00805740">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A8" w:rsidRDefault="00A762A8" w:rsidP="00805740">
      <w:r>
        <w:separator/>
      </w:r>
    </w:p>
  </w:endnote>
  <w:endnote w:type="continuationSeparator" w:id="0">
    <w:p w:rsidR="00A762A8" w:rsidRDefault="00A762A8" w:rsidP="008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37776567"/>
      <w:docPartObj>
        <w:docPartGallery w:val="Page Numbers (Bottom of Page)"/>
        <w:docPartUnique/>
      </w:docPartObj>
    </w:sdtPr>
    <w:sdtEndPr>
      <w:rPr>
        <w:noProof/>
      </w:rPr>
    </w:sdtEndPr>
    <w:sdtContent>
      <w:p w:rsidR="00805740" w:rsidRPr="00805740" w:rsidRDefault="00805740">
        <w:pPr>
          <w:pStyle w:val="Footer"/>
          <w:jc w:val="center"/>
          <w:rPr>
            <w:rFonts w:ascii="Arial" w:hAnsi="Arial" w:cs="Arial"/>
          </w:rPr>
        </w:pPr>
        <w:r w:rsidRPr="00805740">
          <w:rPr>
            <w:rFonts w:ascii="Arial" w:hAnsi="Arial" w:cs="Arial"/>
          </w:rPr>
          <w:fldChar w:fldCharType="begin"/>
        </w:r>
        <w:r w:rsidRPr="00805740">
          <w:rPr>
            <w:rFonts w:ascii="Arial" w:hAnsi="Arial" w:cs="Arial"/>
          </w:rPr>
          <w:instrText xml:space="preserve"> PAGE   \* MERGEFORMAT </w:instrText>
        </w:r>
        <w:r w:rsidRPr="00805740">
          <w:rPr>
            <w:rFonts w:ascii="Arial" w:hAnsi="Arial" w:cs="Arial"/>
          </w:rPr>
          <w:fldChar w:fldCharType="separate"/>
        </w:r>
        <w:r w:rsidR="00B405D4">
          <w:rPr>
            <w:rFonts w:ascii="Arial" w:hAnsi="Arial" w:cs="Arial"/>
            <w:noProof/>
          </w:rPr>
          <w:t>- 4 -</w:t>
        </w:r>
        <w:r w:rsidRPr="00805740">
          <w:rPr>
            <w:rFonts w:ascii="Arial" w:hAnsi="Arial" w:cs="Arial"/>
            <w:noProof/>
          </w:rPr>
          <w:fldChar w:fldCharType="end"/>
        </w:r>
      </w:p>
    </w:sdtContent>
  </w:sdt>
  <w:p w:rsidR="00805740" w:rsidRPr="00805740" w:rsidRDefault="0080574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A8" w:rsidRDefault="00A762A8" w:rsidP="00805740">
      <w:r>
        <w:separator/>
      </w:r>
    </w:p>
  </w:footnote>
  <w:footnote w:type="continuationSeparator" w:id="0">
    <w:p w:rsidR="00A762A8" w:rsidRDefault="00A762A8" w:rsidP="00805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CC4"/>
    <w:multiLevelType w:val="multilevel"/>
    <w:tmpl w:val="B210B8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3"/>
    <w:rsid w:val="001812FB"/>
    <w:rsid w:val="001B2BF6"/>
    <w:rsid w:val="001E1D48"/>
    <w:rsid w:val="002E21FE"/>
    <w:rsid w:val="003B6A26"/>
    <w:rsid w:val="004042DB"/>
    <w:rsid w:val="00483DFE"/>
    <w:rsid w:val="005C1D54"/>
    <w:rsid w:val="005E6491"/>
    <w:rsid w:val="007361E1"/>
    <w:rsid w:val="008025D0"/>
    <w:rsid w:val="00805740"/>
    <w:rsid w:val="00825668"/>
    <w:rsid w:val="009B27C0"/>
    <w:rsid w:val="009E5DED"/>
    <w:rsid w:val="00A4648A"/>
    <w:rsid w:val="00A762A8"/>
    <w:rsid w:val="00B405D4"/>
    <w:rsid w:val="00C92CC8"/>
    <w:rsid w:val="00D80AC0"/>
    <w:rsid w:val="00E75E13"/>
    <w:rsid w:val="00ED59C4"/>
    <w:rsid w:val="00F558D6"/>
    <w:rsid w:val="00F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A293"/>
  <w15:docId w15:val="{595081EA-9F77-4B57-B787-A474B3E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05740"/>
    <w:pPr>
      <w:tabs>
        <w:tab w:val="center" w:pos="4680"/>
        <w:tab w:val="right" w:pos="9360"/>
      </w:tabs>
    </w:pPr>
  </w:style>
  <w:style w:type="character" w:customStyle="1" w:styleId="HeaderChar">
    <w:name w:val="Header Char"/>
    <w:basedOn w:val="DefaultParagraphFont"/>
    <w:link w:val="Header"/>
    <w:uiPriority w:val="99"/>
    <w:rsid w:val="00805740"/>
  </w:style>
  <w:style w:type="paragraph" w:styleId="Footer">
    <w:name w:val="footer"/>
    <w:basedOn w:val="Normal"/>
    <w:link w:val="FooterChar"/>
    <w:uiPriority w:val="99"/>
    <w:unhideWhenUsed/>
    <w:rsid w:val="00805740"/>
    <w:pPr>
      <w:tabs>
        <w:tab w:val="center" w:pos="4680"/>
        <w:tab w:val="right" w:pos="9360"/>
      </w:tabs>
    </w:pPr>
  </w:style>
  <w:style w:type="character" w:customStyle="1" w:styleId="FooterChar">
    <w:name w:val="Footer Char"/>
    <w:basedOn w:val="DefaultParagraphFont"/>
    <w:link w:val="Footer"/>
    <w:uiPriority w:val="99"/>
    <w:rsid w:val="0080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8700">
      <w:bodyDiv w:val="1"/>
      <w:marLeft w:val="0"/>
      <w:marRight w:val="0"/>
      <w:marTop w:val="0"/>
      <w:marBottom w:val="0"/>
      <w:divBdr>
        <w:top w:val="none" w:sz="0" w:space="0" w:color="auto"/>
        <w:left w:val="none" w:sz="0" w:space="0" w:color="auto"/>
        <w:bottom w:val="none" w:sz="0" w:space="0" w:color="auto"/>
        <w:right w:val="none" w:sz="0" w:space="0" w:color="auto"/>
      </w:divBdr>
    </w:div>
    <w:div w:id="147915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2020-04-06T04:17:00Z</dcterms:created>
  <dcterms:modified xsi:type="dcterms:W3CDTF">2020-06-24T05:23:00Z</dcterms:modified>
</cp:coreProperties>
</file>