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19" w:rsidRDefault="000B7119" w:rsidP="00724F6C">
      <w:pPr>
        <w:spacing w:after="240" w:line="480" w:lineRule="auto"/>
        <w:jc w:val="center"/>
        <w:rPr>
          <w:rFonts w:ascii="Arial" w:eastAsia="Arial" w:hAnsi="Arial" w:cs="Arial"/>
          <w:b/>
          <w:sz w:val="24"/>
          <w:szCs w:val="24"/>
        </w:rPr>
      </w:pPr>
      <w:r>
        <w:rPr>
          <w:rFonts w:ascii="Arial" w:hAnsi="Arial" w:cs="Arial"/>
          <w:noProof/>
          <w:sz w:val="24"/>
          <w:szCs w:val="24"/>
        </w:rPr>
        <w:drawing>
          <wp:inline distT="0" distB="0" distL="0" distR="0" wp14:anchorId="431788B7" wp14:editId="78E4B01D">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F00970" w:rsidRDefault="00F00970" w:rsidP="00606CA4">
      <w:pPr>
        <w:spacing w:line="480" w:lineRule="auto"/>
        <w:jc w:val="center"/>
        <w:rPr>
          <w:rFonts w:ascii="Arial" w:eastAsia="Arial" w:hAnsi="Arial" w:cs="Arial"/>
          <w:b/>
          <w:spacing w:val="-1"/>
          <w:sz w:val="24"/>
          <w:szCs w:val="24"/>
        </w:rPr>
      </w:pPr>
      <w:r>
        <w:rPr>
          <w:rFonts w:ascii="Arial" w:eastAsia="Arial" w:hAnsi="Arial" w:cs="Arial"/>
          <w:b/>
          <w:spacing w:val="-1"/>
          <w:sz w:val="24"/>
          <w:szCs w:val="24"/>
        </w:rPr>
        <w:t xml:space="preserve">CONSTITUTIONAL COURT OF </w:t>
      </w:r>
    </w:p>
    <w:p w:rsidR="00F00970" w:rsidRDefault="00F00970" w:rsidP="00606CA4">
      <w:pPr>
        <w:spacing w:line="480" w:lineRule="auto"/>
        <w:jc w:val="center"/>
        <w:rPr>
          <w:rFonts w:ascii="Arial" w:eastAsia="Arial" w:hAnsi="Arial" w:cs="Arial"/>
          <w:sz w:val="24"/>
          <w:szCs w:val="24"/>
        </w:rPr>
      </w:pPr>
      <w:r>
        <w:rPr>
          <w:rFonts w:ascii="Arial" w:eastAsia="Arial" w:hAnsi="Arial" w:cs="Arial"/>
          <w:b/>
          <w:spacing w:val="-1"/>
          <w:sz w:val="24"/>
          <w:szCs w:val="24"/>
        </w:rPr>
        <w:t>THE REPUBLIC OF INDONESIA</w:t>
      </w:r>
    </w:p>
    <w:p w:rsidR="00F00970" w:rsidRDefault="00F00970" w:rsidP="00606CA4">
      <w:pPr>
        <w:spacing w:line="480" w:lineRule="auto"/>
        <w:jc w:val="center"/>
        <w:rPr>
          <w:rFonts w:ascii="Arial" w:eastAsia="Arial" w:hAnsi="Arial" w:cs="Arial"/>
          <w:b/>
          <w:sz w:val="24"/>
          <w:szCs w:val="24"/>
        </w:rPr>
      </w:pPr>
      <w:r>
        <w:rPr>
          <w:rFonts w:ascii="Arial" w:eastAsia="Arial" w:hAnsi="Arial" w:cs="Arial"/>
          <w:b/>
          <w:sz w:val="24"/>
          <w:szCs w:val="24"/>
        </w:rPr>
        <w:t xml:space="preserve">SUMMARY OF LAWSUIT VERDICT </w:t>
      </w:r>
    </w:p>
    <w:p w:rsidR="000A458B" w:rsidRPr="002868D9" w:rsidRDefault="00F00970" w:rsidP="00606CA4">
      <w:pPr>
        <w:spacing w:line="480" w:lineRule="auto"/>
        <w:jc w:val="center"/>
        <w:rPr>
          <w:rFonts w:ascii="Arial" w:eastAsia="Arial" w:hAnsi="Arial" w:cs="Arial"/>
          <w:b/>
          <w:sz w:val="24"/>
          <w:szCs w:val="24"/>
        </w:rPr>
      </w:pPr>
      <w:r>
        <w:rPr>
          <w:rFonts w:ascii="Arial" w:eastAsia="Arial" w:hAnsi="Arial" w:cs="Arial"/>
          <w:b/>
          <w:sz w:val="24"/>
          <w:szCs w:val="24"/>
        </w:rPr>
        <w:t>NUMBER</w:t>
      </w:r>
      <w:r w:rsidR="00902E88" w:rsidRPr="002868D9">
        <w:rPr>
          <w:rFonts w:ascii="Arial" w:eastAsia="Arial" w:hAnsi="Arial" w:cs="Arial"/>
          <w:b/>
          <w:sz w:val="24"/>
          <w:szCs w:val="24"/>
        </w:rPr>
        <w:t xml:space="preserve"> 25/PUU-XVII/2019</w:t>
      </w:r>
    </w:p>
    <w:p w:rsidR="000A458B" w:rsidRPr="002868D9" w:rsidRDefault="000B7119" w:rsidP="00606CA4">
      <w:pPr>
        <w:spacing w:line="480" w:lineRule="auto"/>
        <w:jc w:val="center"/>
        <w:rPr>
          <w:rFonts w:ascii="Arial" w:eastAsia="Arial" w:hAnsi="Arial" w:cs="Arial"/>
          <w:b/>
          <w:sz w:val="24"/>
          <w:szCs w:val="24"/>
        </w:rPr>
      </w:pPr>
      <w:r>
        <w:rPr>
          <w:rFonts w:ascii="Arial" w:eastAsia="Arial" w:hAnsi="Arial" w:cs="Arial"/>
          <w:b/>
          <w:sz w:val="24"/>
          <w:szCs w:val="24"/>
        </w:rPr>
        <w:t>REGARDING</w:t>
      </w:r>
    </w:p>
    <w:p w:rsidR="000B7119" w:rsidRDefault="000B7119" w:rsidP="00606CA4">
      <w:pPr>
        <w:spacing w:line="480" w:lineRule="auto"/>
        <w:jc w:val="center"/>
        <w:rPr>
          <w:rFonts w:ascii="Arial" w:eastAsia="Arial" w:hAnsi="Arial" w:cs="Arial"/>
          <w:b/>
          <w:sz w:val="24"/>
          <w:szCs w:val="24"/>
        </w:rPr>
      </w:pPr>
      <w:r w:rsidRPr="000B7119">
        <w:rPr>
          <w:rFonts w:ascii="Arial" w:eastAsia="Arial" w:hAnsi="Arial" w:cs="Arial"/>
          <w:b/>
          <w:sz w:val="24"/>
          <w:szCs w:val="24"/>
        </w:rPr>
        <w:t xml:space="preserve">CONSTITUTIONALITY OF THE QUICK COUNT AND SURVEYS </w:t>
      </w:r>
    </w:p>
    <w:p w:rsidR="000A458B" w:rsidRPr="002868D9" w:rsidRDefault="000B7119" w:rsidP="00724F6C">
      <w:pPr>
        <w:spacing w:after="240" w:line="480" w:lineRule="auto"/>
        <w:jc w:val="center"/>
        <w:rPr>
          <w:rFonts w:ascii="Arial" w:eastAsia="Arial" w:hAnsi="Arial" w:cs="Arial"/>
          <w:b/>
          <w:sz w:val="24"/>
          <w:szCs w:val="24"/>
        </w:rPr>
      </w:pPr>
      <w:r w:rsidRPr="000B7119">
        <w:rPr>
          <w:rFonts w:ascii="Arial" w:eastAsia="Arial" w:hAnsi="Arial" w:cs="Arial"/>
          <w:b/>
          <w:sz w:val="24"/>
          <w:szCs w:val="24"/>
        </w:rPr>
        <w:t>DURING QUIET PERIODS IN THE 2019 SIMULTANEOUS ELECTIONS</w:t>
      </w:r>
    </w:p>
    <w:p w:rsidR="000A458B" w:rsidRPr="002868D9" w:rsidRDefault="00902E88" w:rsidP="00724F6C">
      <w:pPr>
        <w:tabs>
          <w:tab w:val="left" w:pos="2520"/>
        </w:tabs>
        <w:spacing w:after="240" w:line="480" w:lineRule="auto"/>
        <w:ind w:left="2880" w:hanging="2880"/>
        <w:jc w:val="both"/>
        <w:rPr>
          <w:rFonts w:ascii="Arial" w:eastAsia="Arial" w:hAnsi="Arial" w:cs="Arial"/>
          <w:sz w:val="24"/>
          <w:szCs w:val="24"/>
        </w:rPr>
      </w:pPr>
      <w:r w:rsidRPr="000B7119">
        <w:rPr>
          <w:rFonts w:ascii="Arial" w:eastAsia="Arial" w:hAnsi="Arial" w:cs="Arial"/>
          <w:b/>
          <w:sz w:val="24"/>
          <w:szCs w:val="24"/>
        </w:rPr>
        <w:t>Pe</w:t>
      </w:r>
      <w:r w:rsidR="000B7119" w:rsidRPr="000B7119">
        <w:rPr>
          <w:rFonts w:ascii="Arial" w:eastAsia="Arial" w:hAnsi="Arial" w:cs="Arial"/>
          <w:b/>
          <w:sz w:val="24"/>
          <w:szCs w:val="24"/>
        </w:rPr>
        <w:t>titioner</w:t>
      </w:r>
      <w:r w:rsidRPr="002868D9">
        <w:rPr>
          <w:rFonts w:ascii="Arial" w:eastAsia="Arial" w:hAnsi="Arial" w:cs="Arial"/>
          <w:sz w:val="24"/>
          <w:szCs w:val="24"/>
        </w:rPr>
        <w:tab/>
        <w:t xml:space="preserve">:   </w:t>
      </w:r>
      <w:r w:rsidR="000B7119">
        <w:rPr>
          <w:rFonts w:ascii="Arial" w:eastAsia="Arial" w:hAnsi="Arial" w:cs="Arial"/>
          <w:sz w:val="24"/>
          <w:szCs w:val="24"/>
        </w:rPr>
        <w:tab/>
      </w:r>
      <w:r w:rsidR="000B7119" w:rsidRPr="000B7119">
        <w:rPr>
          <w:rFonts w:ascii="Arial" w:eastAsia="Arial" w:hAnsi="Arial" w:cs="Arial"/>
          <w:sz w:val="24"/>
          <w:szCs w:val="24"/>
        </w:rPr>
        <w:t xml:space="preserve">PT. Television </w:t>
      </w:r>
      <w:proofErr w:type="spellStart"/>
      <w:r w:rsidR="000B7119" w:rsidRPr="000B7119">
        <w:rPr>
          <w:rFonts w:ascii="Arial" w:eastAsia="Arial" w:hAnsi="Arial" w:cs="Arial"/>
          <w:sz w:val="24"/>
          <w:szCs w:val="24"/>
        </w:rPr>
        <w:t>Transformasi</w:t>
      </w:r>
      <w:proofErr w:type="spellEnd"/>
      <w:r w:rsidR="000B7119" w:rsidRPr="000B7119">
        <w:rPr>
          <w:rFonts w:ascii="Arial" w:eastAsia="Arial" w:hAnsi="Arial" w:cs="Arial"/>
          <w:sz w:val="24"/>
          <w:szCs w:val="24"/>
        </w:rPr>
        <w:t xml:space="preserve"> Indonesia, PT. Media </w:t>
      </w:r>
      <w:proofErr w:type="spellStart"/>
      <w:r w:rsidR="000B7119" w:rsidRPr="000B7119">
        <w:rPr>
          <w:rFonts w:ascii="Arial" w:eastAsia="Arial" w:hAnsi="Arial" w:cs="Arial"/>
          <w:sz w:val="24"/>
          <w:szCs w:val="24"/>
        </w:rPr>
        <w:t>Televisi</w:t>
      </w:r>
      <w:proofErr w:type="spellEnd"/>
      <w:r w:rsidR="000B7119" w:rsidRPr="000B7119">
        <w:rPr>
          <w:rFonts w:ascii="Arial" w:eastAsia="Arial" w:hAnsi="Arial" w:cs="Arial"/>
          <w:sz w:val="24"/>
          <w:szCs w:val="24"/>
        </w:rPr>
        <w:t xml:space="preserve"> Indonesia, PT. </w:t>
      </w:r>
      <w:proofErr w:type="spellStart"/>
      <w:r w:rsidR="000B7119" w:rsidRPr="000B7119">
        <w:rPr>
          <w:rFonts w:ascii="Arial" w:eastAsia="Arial" w:hAnsi="Arial" w:cs="Arial"/>
          <w:sz w:val="24"/>
          <w:szCs w:val="24"/>
        </w:rPr>
        <w:t>Rajawali</w:t>
      </w:r>
      <w:proofErr w:type="spellEnd"/>
      <w:r w:rsidR="000B7119" w:rsidRPr="000B7119">
        <w:rPr>
          <w:rFonts w:ascii="Arial" w:eastAsia="Arial" w:hAnsi="Arial" w:cs="Arial"/>
          <w:sz w:val="24"/>
          <w:szCs w:val="24"/>
        </w:rPr>
        <w:t xml:space="preserve"> Citra </w:t>
      </w:r>
      <w:proofErr w:type="spellStart"/>
      <w:r w:rsidR="000B7119" w:rsidRPr="000B7119">
        <w:rPr>
          <w:rFonts w:ascii="Arial" w:eastAsia="Arial" w:hAnsi="Arial" w:cs="Arial"/>
          <w:sz w:val="24"/>
          <w:szCs w:val="24"/>
        </w:rPr>
        <w:t>Televisi</w:t>
      </w:r>
      <w:proofErr w:type="spellEnd"/>
      <w:r w:rsidR="000B7119" w:rsidRPr="000B7119">
        <w:rPr>
          <w:rFonts w:ascii="Arial" w:eastAsia="Arial" w:hAnsi="Arial" w:cs="Arial"/>
          <w:sz w:val="24"/>
          <w:szCs w:val="24"/>
        </w:rPr>
        <w:t xml:space="preserve"> Indonesia, PT. </w:t>
      </w:r>
      <w:proofErr w:type="spellStart"/>
      <w:r w:rsidR="000B7119" w:rsidRPr="000B7119">
        <w:rPr>
          <w:rFonts w:ascii="Arial" w:eastAsia="Arial" w:hAnsi="Arial" w:cs="Arial"/>
          <w:sz w:val="24"/>
          <w:szCs w:val="24"/>
        </w:rPr>
        <w:t>Lativi</w:t>
      </w:r>
      <w:proofErr w:type="spellEnd"/>
      <w:r w:rsidR="000B7119" w:rsidRPr="000B7119">
        <w:rPr>
          <w:rFonts w:ascii="Arial" w:eastAsia="Arial" w:hAnsi="Arial" w:cs="Arial"/>
          <w:sz w:val="24"/>
          <w:szCs w:val="24"/>
        </w:rPr>
        <w:t xml:space="preserve"> </w:t>
      </w:r>
      <w:proofErr w:type="spellStart"/>
      <w:r w:rsidR="000B7119" w:rsidRPr="000B7119">
        <w:rPr>
          <w:rFonts w:ascii="Arial" w:eastAsia="Arial" w:hAnsi="Arial" w:cs="Arial"/>
          <w:sz w:val="24"/>
          <w:szCs w:val="24"/>
        </w:rPr>
        <w:t>Mediakarya</w:t>
      </w:r>
      <w:proofErr w:type="spellEnd"/>
      <w:r w:rsidR="000B7119" w:rsidRPr="000B7119">
        <w:rPr>
          <w:rFonts w:ascii="Arial" w:eastAsia="Arial" w:hAnsi="Arial" w:cs="Arial"/>
          <w:sz w:val="24"/>
          <w:szCs w:val="24"/>
        </w:rPr>
        <w:t xml:space="preserve">, PT. </w:t>
      </w:r>
      <w:proofErr w:type="spellStart"/>
      <w:r w:rsidR="000B7119" w:rsidRPr="000B7119">
        <w:rPr>
          <w:rFonts w:ascii="Arial" w:eastAsia="Arial" w:hAnsi="Arial" w:cs="Arial"/>
          <w:sz w:val="24"/>
          <w:szCs w:val="24"/>
        </w:rPr>
        <w:t>Indosiar</w:t>
      </w:r>
      <w:proofErr w:type="spellEnd"/>
      <w:r w:rsidR="000B7119" w:rsidRPr="000B7119">
        <w:rPr>
          <w:rFonts w:ascii="Arial" w:eastAsia="Arial" w:hAnsi="Arial" w:cs="Arial"/>
          <w:sz w:val="24"/>
          <w:szCs w:val="24"/>
        </w:rPr>
        <w:t xml:space="preserve"> Visual </w:t>
      </w:r>
      <w:proofErr w:type="spellStart"/>
      <w:r w:rsidR="000B7119" w:rsidRPr="000B7119">
        <w:rPr>
          <w:rFonts w:ascii="Arial" w:eastAsia="Arial" w:hAnsi="Arial" w:cs="Arial"/>
          <w:sz w:val="24"/>
          <w:szCs w:val="24"/>
        </w:rPr>
        <w:t>Mandiri</w:t>
      </w:r>
      <w:proofErr w:type="spellEnd"/>
      <w:r w:rsidR="000B7119" w:rsidRPr="000B7119">
        <w:rPr>
          <w:rFonts w:ascii="Arial" w:eastAsia="Arial" w:hAnsi="Arial" w:cs="Arial"/>
          <w:sz w:val="24"/>
          <w:szCs w:val="24"/>
        </w:rPr>
        <w:t>, PT. Indonesian Political Indicators, PT. Cyrus Nusantara</w:t>
      </w:r>
    </w:p>
    <w:p w:rsidR="000A458B" w:rsidRPr="002868D9" w:rsidRDefault="000B7119" w:rsidP="00724F6C">
      <w:pPr>
        <w:tabs>
          <w:tab w:val="left" w:pos="2520"/>
        </w:tabs>
        <w:spacing w:after="240" w:line="480" w:lineRule="auto"/>
        <w:ind w:left="2880" w:hanging="2880"/>
        <w:jc w:val="both"/>
        <w:rPr>
          <w:rFonts w:ascii="Arial" w:eastAsia="Arial" w:hAnsi="Arial" w:cs="Arial"/>
          <w:sz w:val="24"/>
          <w:szCs w:val="24"/>
        </w:rPr>
      </w:pPr>
      <w:r w:rsidRPr="000B7119">
        <w:rPr>
          <w:rFonts w:ascii="Arial" w:eastAsia="Arial" w:hAnsi="Arial" w:cs="Arial"/>
          <w:b/>
          <w:sz w:val="24"/>
          <w:szCs w:val="24"/>
        </w:rPr>
        <w:t xml:space="preserve">Type of </w:t>
      </w:r>
      <w:r w:rsidR="00F00970">
        <w:rPr>
          <w:rFonts w:ascii="Arial" w:eastAsia="Arial" w:hAnsi="Arial" w:cs="Arial"/>
          <w:b/>
          <w:sz w:val="24"/>
          <w:szCs w:val="24"/>
        </w:rPr>
        <w:t>Lawsuit</w:t>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902E88" w:rsidRPr="002868D9">
        <w:rPr>
          <w:rFonts w:ascii="Arial" w:eastAsia="Arial" w:hAnsi="Arial" w:cs="Arial"/>
          <w:sz w:val="24"/>
          <w:szCs w:val="24"/>
        </w:rPr>
        <w:t xml:space="preserve">: </w:t>
      </w:r>
      <w:r w:rsidR="002868D9">
        <w:rPr>
          <w:rFonts w:ascii="Arial" w:eastAsia="Arial" w:hAnsi="Arial" w:cs="Arial"/>
          <w:sz w:val="24"/>
          <w:szCs w:val="24"/>
        </w:rPr>
        <w:tab/>
      </w:r>
      <w:r>
        <w:rPr>
          <w:rFonts w:ascii="Arial" w:eastAsia="Arial" w:hAnsi="Arial" w:cs="Arial"/>
          <w:sz w:val="24"/>
          <w:szCs w:val="24"/>
        </w:rPr>
        <w:t>Judicial Review</w:t>
      </w:r>
      <w:r w:rsidRPr="000B7119">
        <w:rPr>
          <w:rFonts w:ascii="Arial" w:eastAsia="Arial" w:hAnsi="Arial" w:cs="Arial"/>
          <w:sz w:val="24"/>
          <w:szCs w:val="24"/>
        </w:rPr>
        <w:t xml:space="preserve"> of Law Number 7 of 2017 </w:t>
      </w:r>
      <w:r>
        <w:rPr>
          <w:rFonts w:ascii="Arial" w:eastAsia="Arial" w:hAnsi="Arial" w:cs="Arial"/>
          <w:sz w:val="24"/>
          <w:szCs w:val="24"/>
        </w:rPr>
        <w:t>regard</w:t>
      </w:r>
      <w:r w:rsidRPr="000B7119">
        <w:rPr>
          <w:rFonts w:ascii="Arial" w:eastAsia="Arial" w:hAnsi="Arial" w:cs="Arial"/>
          <w:sz w:val="24"/>
          <w:szCs w:val="24"/>
        </w:rPr>
        <w:t xml:space="preserve">ing General Elections </w:t>
      </w:r>
      <w:r>
        <w:rPr>
          <w:rFonts w:ascii="Arial" w:eastAsia="Arial" w:hAnsi="Arial" w:cs="Arial"/>
          <w:sz w:val="24"/>
          <w:szCs w:val="24"/>
        </w:rPr>
        <w:t>against</w:t>
      </w:r>
      <w:r w:rsidRPr="000B7119">
        <w:rPr>
          <w:rFonts w:ascii="Arial" w:eastAsia="Arial" w:hAnsi="Arial" w:cs="Arial"/>
          <w:sz w:val="24"/>
          <w:szCs w:val="24"/>
        </w:rPr>
        <w:t xml:space="preserve"> the 1945 Constitution of the Republic of Indonesia (</w:t>
      </w:r>
      <w:r>
        <w:rPr>
          <w:rFonts w:ascii="Arial" w:eastAsia="Arial" w:hAnsi="Arial" w:cs="Arial"/>
          <w:sz w:val="24"/>
          <w:szCs w:val="24"/>
        </w:rPr>
        <w:t xml:space="preserve">UUD </w:t>
      </w:r>
      <w:r w:rsidRPr="000B7119">
        <w:rPr>
          <w:rFonts w:ascii="Arial" w:eastAsia="Arial" w:hAnsi="Arial" w:cs="Arial"/>
          <w:sz w:val="24"/>
          <w:szCs w:val="24"/>
        </w:rPr>
        <w:t>1945)</w:t>
      </w:r>
    </w:p>
    <w:p w:rsidR="000A458B" w:rsidRPr="002868D9" w:rsidRDefault="000B7119" w:rsidP="00724F6C">
      <w:pPr>
        <w:tabs>
          <w:tab w:val="left" w:pos="2520"/>
        </w:tabs>
        <w:spacing w:after="240" w:line="480" w:lineRule="auto"/>
        <w:ind w:left="2880" w:hanging="2880"/>
        <w:jc w:val="both"/>
        <w:rPr>
          <w:rFonts w:ascii="Arial" w:eastAsia="Arial" w:hAnsi="Arial" w:cs="Arial"/>
          <w:sz w:val="24"/>
          <w:szCs w:val="24"/>
        </w:rPr>
      </w:pPr>
      <w:r w:rsidRPr="000B7119">
        <w:rPr>
          <w:rFonts w:ascii="Arial" w:eastAsia="Arial" w:hAnsi="Arial" w:cs="Arial"/>
          <w:b/>
          <w:sz w:val="24"/>
          <w:szCs w:val="24"/>
        </w:rPr>
        <w:t>Case</w:t>
      </w:r>
      <w:r w:rsidR="00F00970">
        <w:rPr>
          <w:rFonts w:ascii="Arial" w:eastAsia="Arial" w:hAnsi="Arial" w:cs="Arial"/>
          <w:b/>
          <w:sz w:val="24"/>
          <w:szCs w:val="24"/>
        </w:rPr>
        <w:t xml:space="preserve"> </w:t>
      </w:r>
      <w:r w:rsidR="00F00970" w:rsidRPr="000B7119">
        <w:rPr>
          <w:rFonts w:ascii="Arial" w:eastAsia="Arial" w:hAnsi="Arial" w:cs="Arial"/>
          <w:b/>
          <w:sz w:val="24"/>
          <w:szCs w:val="24"/>
        </w:rPr>
        <w:t xml:space="preserve">of </w:t>
      </w:r>
      <w:r w:rsidR="00F00970">
        <w:rPr>
          <w:rFonts w:ascii="Arial" w:eastAsia="Arial" w:hAnsi="Arial" w:cs="Arial"/>
          <w:b/>
          <w:sz w:val="24"/>
          <w:szCs w:val="24"/>
        </w:rPr>
        <w:t>Lawsuit</w:t>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902E88" w:rsidRPr="002868D9">
        <w:rPr>
          <w:rFonts w:ascii="Arial" w:eastAsia="Arial" w:hAnsi="Arial" w:cs="Arial"/>
          <w:sz w:val="24"/>
          <w:szCs w:val="24"/>
        </w:rPr>
        <w:t xml:space="preserve">:   </w:t>
      </w:r>
      <w:r w:rsidR="002868D9">
        <w:rPr>
          <w:rFonts w:ascii="Arial" w:eastAsia="Arial" w:hAnsi="Arial" w:cs="Arial"/>
          <w:sz w:val="24"/>
          <w:szCs w:val="24"/>
        </w:rPr>
        <w:tab/>
      </w:r>
      <w:r>
        <w:rPr>
          <w:rFonts w:ascii="Arial" w:eastAsia="Arial" w:hAnsi="Arial" w:cs="Arial"/>
          <w:sz w:val="24"/>
          <w:szCs w:val="24"/>
        </w:rPr>
        <w:t>Judicial Review</w:t>
      </w:r>
      <w:r w:rsidRPr="000B7119">
        <w:rPr>
          <w:rFonts w:ascii="Arial" w:eastAsia="Arial" w:hAnsi="Arial" w:cs="Arial"/>
          <w:sz w:val="24"/>
          <w:szCs w:val="24"/>
        </w:rPr>
        <w:t xml:space="preserve"> of </w:t>
      </w:r>
      <w:r>
        <w:rPr>
          <w:rFonts w:ascii="Arial" w:eastAsia="Arial" w:hAnsi="Arial" w:cs="Arial"/>
          <w:sz w:val="24"/>
          <w:szCs w:val="24"/>
        </w:rPr>
        <w:t xml:space="preserve">the </w:t>
      </w:r>
      <w:r w:rsidRPr="000B7119">
        <w:rPr>
          <w:rFonts w:ascii="Arial" w:eastAsia="Arial" w:hAnsi="Arial" w:cs="Arial"/>
          <w:sz w:val="24"/>
          <w:szCs w:val="24"/>
        </w:rPr>
        <w:t xml:space="preserve">Constitutionality </w:t>
      </w:r>
      <w:r>
        <w:rPr>
          <w:rFonts w:ascii="Arial" w:eastAsia="Arial" w:hAnsi="Arial" w:cs="Arial"/>
          <w:sz w:val="24"/>
          <w:szCs w:val="24"/>
        </w:rPr>
        <w:t>of</w:t>
      </w:r>
      <w:r w:rsidRPr="000B7119">
        <w:rPr>
          <w:rFonts w:ascii="Arial" w:eastAsia="Arial" w:hAnsi="Arial" w:cs="Arial"/>
          <w:sz w:val="24"/>
          <w:szCs w:val="24"/>
        </w:rPr>
        <w:t xml:space="preserve"> Article 449 paragraph (2), paragraph (5), and paragraph (6), Article 509, Article 540 paragraph (1) and paragraph (2) of the Election Law or 7/2017 and Article 197 paragraph (2) of the </w:t>
      </w:r>
      <w:r w:rsidR="00801898">
        <w:rPr>
          <w:rFonts w:ascii="Arial" w:eastAsia="Arial" w:hAnsi="Arial" w:cs="Arial"/>
          <w:sz w:val="24"/>
          <w:szCs w:val="24"/>
        </w:rPr>
        <w:t xml:space="preserve">Regional </w:t>
      </w:r>
      <w:r w:rsidRPr="000B7119">
        <w:rPr>
          <w:rFonts w:ascii="Arial" w:eastAsia="Arial" w:hAnsi="Arial" w:cs="Arial"/>
          <w:sz w:val="24"/>
          <w:szCs w:val="24"/>
        </w:rPr>
        <w:t>Election Law or Law 1/2015 of the 1945 Constitution</w:t>
      </w:r>
    </w:p>
    <w:p w:rsidR="000A458B" w:rsidRPr="002868D9" w:rsidRDefault="000B7119" w:rsidP="00724F6C">
      <w:pPr>
        <w:tabs>
          <w:tab w:val="left" w:pos="2520"/>
        </w:tabs>
        <w:spacing w:after="240" w:line="480" w:lineRule="auto"/>
        <w:ind w:left="2880" w:hanging="2880"/>
        <w:jc w:val="both"/>
        <w:rPr>
          <w:rFonts w:ascii="Arial" w:eastAsia="Arial" w:hAnsi="Arial" w:cs="Arial"/>
          <w:sz w:val="24"/>
          <w:szCs w:val="24"/>
        </w:rPr>
      </w:pPr>
      <w:r w:rsidRPr="000B7119">
        <w:rPr>
          <w:rFonts w:ascii="Arial" w:eastAsia="Arial" w:hAnsi="Arial" w:cs="Arial"/>
          <w:b/>
          <w:sz w:val="24"/>
          <w:szCs w:val="24"/>
        </w:rPr>
        <w:lastRenderedPageBreak/>
        <w:t>Injunction</w:t>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801898" w:rsidRPr="00801898">
        <w:rPr>
          <w:rFonts w:ascii="Arial" w:eastAsia="Arial" w:hAnsi="Arial" w:cs="Arial"/>
          <w:sz w:val="24"/>
          <w:szCs w:val="24"/>
        </w:rPr>
        <w:t xml:space="preserve">In </w:t>
      </w:r>
      <w:r w:rsidR="00801898">
        <w:rPr>
          <w:rFonts w:ascii="Arial" w:eastAsia="Arial" w:hAnsi="Arial" w:cs="Arial"/>
          <w:sz w:val="24"/>
          <w:szCs w:val="24"/>
        </w:rPr>
        <w:t xml:space="preserve">the </w:t>
      </w:r>
      <w:r w:rsidR="00801898" w:rsidRPr="00801898">
        <w:rPr>
          <w:rFonts w:ascii="Arial" w:eastAsia="Arial" w:hAnsi="Arial" w:cs="Arial"/>
          <w:sz w:val="24"/>
          <w:szCs w:val="24"/>
        </w:rPr>
        <w:t>Provision</w:t>
      </w:r>
    </w:p>
    <w:p w:rsidR="000A458B" w:rsidRPr="002868D9" w:rsidRDefault="002868D9" w:rsidP="00724F6C">
      <w:pPr>
        <w:tabs>
          <w:tab w:val="left" w:pos="2520"/>
        </w:tabs>
        <w:spacing w:after="240" w:line="480" w:lineRule="auto"/>
        <w:ind w:left="2880" w:hanging="288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801898" w:rsidRPr="00801898">
        <w:rPr>
          <w:rFonts w:ascii="Arial" w:eastAsia="Arial" w:hAnsi="Arial" w:cs="Arial"/>
          <w:sz w:val="24"/>
          <w:szCs w:val="24"/>
        </w:rPr>
        <w:t>Re</w:t>
      </w:r>
      <w:r w:rsidR="00801898">
        <w:rPr>
          <w:rFonts w:ascii="Arial" w:eastAsia="Arial" w:hAnsi="Arial" w:cs="Arial"/>
          <w:sz w:val="24"/>
          <w:szCs w:val="24"/>
        </w:rPr>
        <w:t xml:space="preserve">jecting the petition </w:t>
      </w:r>
      <w:r w:rsidR="00801898" w:rsidRPr="00801898">
        <w:rPr>
          <w:rFonts w:ascii="Arial" w:eastAsia="Arial" w:hAnsi="Arial" w:cs="Arial"/>
          <w:sz w:val="24"/>
          <w:szCs w:val="24"/>
        </w:rPr>
        <w:t xml:space="preserve">for provision of Petitioner I </w:t>
      </w:r>
      <w:r w:rsidR="00724F6C" w:rsidRPr="00724F6C">
        <w:rPr>
          <w:rFonts w:ascii="Arial" w:eastAsia="Arial" w:hAnsi="Arial" w:cs="Arial"/>
          <w:sz w:val="24"/>
          <w:szCs w:val="24"/>
        </w:rPr>
        <w:t>through</w:t>
      </w:r>
      <w:r w:rsidR="00801898" w:rsidRPr="00801898">
        <w:rPr>
          <w:rFonts w:ascii="Arial" w:eastAsia="Arial" w:hAnsi="Arial" w:cs="Arial"/>
          <w:sz w:val="24"/>
          <w:szCs w:val="24"/>
        </w:rPr>
        <w:t xml:space="preserve"> Petitioner VI;</w:t>
      </w:r>
    </w:p>
    <w:p w:rsidR="000A458B" w:rsidRPr="002868D9" w:rsidRDefault="002868D9" w:rsidP="00724F6C">
      <w:pPr>
        <w:tabs>
          <w:tab w:val="left" w:pos="2520"/>
        </w:tabs>
        <w:spacing w:after="240" w:line="480" w:lineRule="auto"/>
        <w:ind w:left="2880" w:hanging="288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801898" w:rsidRPr="00801898">
        <w:rPr>
          <w:rFonts w:ascii="Arial" w:eastAsia="Arial" w:hAnsi="Arial" w:cs="Arial"/>
          <w:sz w:val="24"/>
          <w:szCs w:val="24"/>
        </w:rPr>
        <w:t xml:space="preserve">In </w:t>
      </w:r>
      <w:r w:rsidR="00724F6C">
        <w:rPr>
          <w:rFonts w:ascii="Arial" w:eastAsia="Arial" w:hAnsi="Arial" w:cs="Arial"/>
          <w:sz w:val="24"/>
          <w:szCs w:val="24"/>
        </w:rPr>
        <w:t xml:space="preserve">the </w:t>
      </w:r>
      <w:r w:rsidR="00801898" w:rsidRPr="00801898">
        <w:rPr>
          <w:rFonts w:ascii="Arial" w:eastAsia="Arial" w:hAnsi="Arial" w:cs="Arial"/>
          <w:sz w:val="24"/>
          <w:szCs w:val="24"/>
        </w:rPr>
        <w:t xml:space="preserve">Principal </w:t>
      </w:r>
      <w:r w:rsidR="00801898">
        <w:rPr>
          <w:rFonts w:ascii="Arial" w:eastAsia="Arial" w:hAnsi="Arial" w:cs="Arial"/>
          <w:sz w:val="24"/>
          <w:szCs w:val="24"/>
        </w:rPr>
        <w:t>Petition</w:t>
      </w:r>
    </w:p>
    <w:p w:rsidR="000A458B" w:rsidRPr="002868D9" w:rsidRDefault="00902E88" w:rsidP="00724F6C">
      <w:pPr>
        <w:spacing w:after="240" w:line="480" w:lineRule="auto"/>
        <w:ind w:left="3240" w:hanging="360"/>
        <w:jc w:val="both"/>
        <w:rPr>
          <w:rFonts w:ascii="Arial" w:eastAsia="Arial" w:hAnsi="Arial" w:cs="Arial"/>
          <w:sz w:val="24"/>
          <w:szCs w:val="24"/>
        </w:rPr>
      </w:pPr>
      <w:r w:rsidRPr="002868D9">
        <w:rPr>
          <w:rFonts w:ascii="Arial" w:eastAsia="Arial" w:hAnsi="Arial" w:cs="Arial"/>
          <w:sz w:val="24"/>
          <w:szCs w:val="24"/>
        </w:rPr>
        <w:t>1.</w:t>
      </w:r>
      <w:r w:rsidR="002868D9">
        <w:rPr>
          <w:rFonts w:ascii="Arial" w:eastAsia="Arial" w:hAnsi="Arial" w:cs="Arial"/>
          <w:sz w:val="24"/>
          <w:szCs w:val="24"/>
        </w:rPr>
        <w:tab/>
      </w:r>
      <w:r w:rsidR="00724F6C">
        <w:rPr>
          <w:rFonts w:ascii="Arial" w:eastAsia="Arial" w:hAnsi="Arial" w:cs="Arial"/>
          <w:sz w:val="24"/>
          <w:szCs w:val="24"/>
        </w:rPr>
        <w:t>Declar</w:t>
      </w:r>
      <w:r w:rsidR="00801898" w:rsidRPr="00801898">
        <w:rPr>
          <w:rFonts w:ascii="Arial" w:eastAsia="Arial" w:hAnsi="Arial" w:cs="Arial"/>
          <w:sz w:val="24"/>
          <w:szCs w:val="24"/>
        </w:rPr>
        <w:t xml:space="preserve">ing </w:t>
      </w:r>
      <w:r w:rsidR="00801898">
        <w:rPr>
          <w:rFonts w:ascii="Arial" w:eastAsia="Arial" w:hAnsi="Arial" w:cs="Arial"/>
          <w:sz w:val="24"/>
          <w:szCs w:val="24"/>
        </w:rPr>
        <w:t xml:space="preserve">the </w:t>
      </w:r>
      <w:r w:rsidR="00801898" w:rsidRPr="00801898">
        <w:rPr>
          <w:rFonts w:ascii="Arial" w:eastAsia="Arial" w:hAnsi="Arial" w:cs="Arial"/>
          <w:sz w:val="24"/>
          <w:szCs w:val="24"/>
        </w:rPr>
        <w:t xml:space="preserve">Petitioner VII's </w:t>
      </w:r>
      <w:r w:rsidR="00801898">
        <w:rPr>
          <w:rFonts w:ascii="Arial" w:eastAsia="Arial" w:hAnsi="Arial" w:cs="Arial"/>
          <w:sz w:val="24"/>
          <w:szCs w:val="24"/>
        </w:rPr>
        <w:t>peti</w:t>
      </w:r>
      <w:r w:rsidR="00801898" w:rsidRPr="00801898">
        <w:rPr>
          <w:rFonts w:ascii="Arial" w:eastAsia="Arial" w:hAnsi="Arial" w:cs="Arial"/>
          <w:sz w:val="24"/>
          <w:szCs w:val="24"/>
        </w:rPr>
        <w:t xml:space="preserve">tion </w:t>
      </w:r>
      <w:r w:rsidR="00724F6C" w:rsidRPr="00724F6C">
        <w:rPr>
          <w:rFonts w:ascii="Arial" w:eastAsia="Arial" w:hAnsi="Arial" w:cs="Arial"/>
          <w:sz w:val="24"/>
          <w:szCs w:val="24"/>
        </w:rPr>
        <w:t>is unacceptable</w:t>
      </w:r>
      <w:r w:rsidR="00801898" w:rsidRPr="00801898">
        <w:rPr>
          <w:rFonts w:ascii="Arial" w:eastAsia="Arial" w:hAnsi="Arial" w:cs="Arial"/>
          <w:sz w:val="24"/>
          <w:szCs w:val="24"/>
        </w:rPr>
        <w:t>;</w:t>
      </w:r>
    </w:p>
    <w:p w:rsidR="000A458B" w:rsidRPr="002868D9" w:rsidRDefault="00902E88" w:rsidP="00724F6C">
      <w:pPr>
        <w:spacing w:after="240" w:line="480" w:lineRule="auto"/>
        <w:ind w:left="3240" w:hanging="360"/>
        <w:jc w:val="both"/>
        <w:rPr>
          <w:rFonts w:ascii="Arial" w:eastAsia="Arial" w:hAnsi="Arial" w:cs="Arial"/>
          <w:sz w:val="24"/>
          <w:szCs w:val="24"/>
        </w:rPr>
      </w:pPr>
      <w:r w:rsidRPr="002868D9">
        <w:rPr>
          <w:rFonts w:ascii="Arial" w:eastAsia="Arial" w:hAnsi="Arial" w:cs="Arial"/>
          <w:sz w:val="24"/>
          <w:szCs w:val="24"/>
        </w:rPr>
        <w:t xml:space="preserve">2. </w:t>
      </w:r>
      <w:r w:rsidR="002868D9">
        <w:rPr>
          <w:rFonts w:ascii="Arial" w:eastAsia="Arial" w:hAnsi="Arial" w:cs="Arial"/>
          <w:sz w:val="24"/>
          <w:szCs w:val="24"/>
        </w:rPr>
        <w:tab/>
      </w:r>
      <w:r w:rsidR="00801898" w:rsidRPr="00801898">
        <w:rPr>
          <w:rFonts w:ascii="Arial" w:eastAsia="Arial" w:hAnsi="Arial" w:cs="Arial"/>
          <w:sz w:val="24"/>
          <w:szCs w:val="24"/>
        </w:rPr>
        <w:t>Re</w:t>
      </w:r>
      <w:r w:rsidR="00801898">
        <w:rPr>
          <w:rFonts w:ascii="Arial" w:eastAsia="Arial" w:hAnsi="Arial" w:cs="Arial"/>
          <w:sz w:val="24"/>
          <w:szCs w:val="24"/>
        </w:rPr>
        <w:t>jecting the</w:t>
      </w:r>
      <w:r w:rsidR="00801898" w:rsidRPr="00801898">
        <w:rPr>
          <w:rFonts w:ascii="Arial" w:eastAsia="Arial" w:hAnsi="Arial" w:cs="Arial"/>
          <w:sz w:val="24"/>
          <w:szCs w:val="24"/>
        </w:rPr>
        <w:t xml:space="preserve"> P</w:t>
      </w:r>
      <w:r w:rsidR="00801898">
        <w:rPr>
          <w:rFonts w:ascii="Arial" w:eastAsia="Arial" w:hAnsi="Arial" w:cs="Arial"/>
          <w:sz w:val="24"/>
          <w:szCs w:val="24"/>
        </w:rPr>
        <w:t xml:space="preserve">etitioner I </w:t>
      </w:r>
      <w:r w:rsidR="00724F6C" w:rsidRPr="00724F6C">
        <w:rPr>
          <w:rFonts w:ascii="Arial" w:eastAsia="Arial" w:hAnsi="Arial" w:cs="Arial"/>
          <w:sz w:val="24"/>
          <w:szCs w:val="24"/>
        </w:rPr>
        <w:t>through</w:t>
      </w:r>
      <w:r w:rsidR="00801898">
        <w:rPr>
          <w:rFonts w:ascii="Arial" w:eastAsia="Arial" w:hAnsi="Arial" w:cs="Arial"/>
          <w:sz w:val="24"/>
          <w:szCs w:val="24"/>
        </w:rPr>
        <w:t xml:space="preserve"> Petitioner VI's petition</w:t>
      </w:r>
      <w:r w:rsidR="00801898" w:rsidRPr="00801898">
        <w:rPr>
          <w:rFonts w:ascii="Arial" w:eastAsia="Arial" w:hAnsi="Arial" w:cs="Arial"/>
          <w:sz w:val="24"/>
          <w:szCs w:val="24"/>
        </w:rPr>
        <w:t xml:space="preserve"> in their entirety.</w:t>
      </w:r>
    </w:p>
    <w:p w:rsidR="000A458B" w:rsidRPr="002868D9" w:rsidRDefault="000B7119" w:rsidP="00724F6C">
      <w:pPr>
        <w:tabs>
          <w:tab w:val="left" w:pos="2520"/>
        </w:tabs>
        <w:spacing w:after="240" w:line="480" w:lineRule="auto"/>
        <w:ind w:left="2880" w:hanging="2880"/>
        <w:jc w:val="both"/>
        <w:rPr>
          <w:rFonts w:ascii="Arial" w:eastAsia="Arial" w:hAnsi="Arial" w:cs="Arial"/>
          <w:sz w:val="24"/>
          <w:szCs w:val="24"/>
        </w:rPr>
      </w:pPr>
      <w:r w:rsidRPr="000B7119">
        <w:rPr>
          <w:rFonts w:ascii="Arial" w:eastAsia="Arial" w:hAnsi="Arial" w:cs="Arial"/>
          <w:b/>
          <w:sz w:val="24"/>
          <w:szCs w:val="24"/>
        </w:rPr>
        <w:t xml:space="preserve">Date of </w:t>
      </w:r>
      <w:r w:rsidR="00F00970">
        <w:rPr>
          <w:rFonts w:ascii="Arial" w:eastAsia="Arial" w:hAnsi="Arial" w:cs="Arial"/>
          <w:b/>
          <w:sz w:val="24"/>
          <w:szCs w:val="24"/>
        </w:rPr>
        <w:t>Verdict</w:t>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801898" w:rsidRPr="00801898">
        <w:rPr>
          <w:rFonts w:ascii="Arial" w:eastAsia="Arial" w:hAnsi="Arial" w:cs="Arial"/>
          <w:sz w:val="24"/>
          <w:szCs w:val="24"/>
        </w:rPr>
        <w:t>Tuesday, April 16, 2019</w:t>
      </w:r>
    </w:p>
    <w:p w:rsidR="000A458B" w:rsidRPr="002868D9" w:rsidRDefault="00F00970" w:rsidP="00724F6C">
      <w:pPr>
        <w:tabs>
          <w:tab w:val="left" w:pos="2520"/>
        </w:tabs>
        <w:spacing w:after="240" w:line="480" w:lineRule="auto"/>
        <w:ind w:left="2880" w:hanging="2880"/>
        <w:jc w:val="both"/>
        <w:rPr>
          <w:rFonts w:ascii="Arial" w:hAnsi="Arial" w:cs="Arial"/>
          <w:sz w:val="24"/>
          <w:szCs w:val="24"/>
        </w:rPr>
      </w:pPr>
      <w:r>
        <w:rPr>
          <w:rFonts w:ascii="Arial" w:eastAsia="Arial" w:hAnsi="Arial" w:cs="Arial"/>
          <w:b/>
          <w:sz w:val="24"/>
          <w:szCs w:val="24"/>
        </w:rPr>
        <w:t>Verdict</w:t>
      </w:r>
      <w:r w:rsidR="000B7119">
        <w:rPr>
          <w:rFonts w:ascii="Arial" w:eastAsia="Arial" w:hAnsi="Arial" w:cs="Arial"/>
          <w:b/>
          <w:sz w:val="24"/>
          <w:szCs w:val="24"/>
        </w:rPr>
        <w:t xml:space="preserve"> Summary</w:t>
      </w:r>
      <w:r w:rsidR="00902E88" w:rsidRPr="002868D9">
        <w:rPr>
          <w:rFonts w:ascii="Arial" w:eastAsia="Arial" w:hAnsi="Arial" w:cs="Arial"/>
          <w:sz w:val="24"/>
          <w:szCs w:val="24"/>
        </w:rPr>
        <w:t xml:space="preserve">    </w:t>
      </w:r>
      <w:r w:rsidR="002868D9">
        <w:rPr>
          <w:rFonts w:ascii="Arial" w:eastAsia="Arial" w:hAnsi="Arial" w:cs="Arial"/>
          <w:sz w:val="24"/>
          <w:szCs w:val="24"/>
        </w:rPr>
        <w:tab/>
      </w:r>
      <w:r w:rsidR="00902E88" w:rsidRPr="002868D9">
        <w:rPr>
          <w:rFonts w:ascii="Arial" w:eastAsia="Arial" w:hAnsi="Arial" w:cs="Arial"/>
          <w:sz w:val="24"/>
          <w:szCs w:val="24"/>
        </w:rPr>
        <w:t>:</w:t>
      </w:r>
      <w:r w:rsidR="002868D9">
        <w:rPr>
          <w:rFonts w:ascii="Arial" w:eastAsia="Arial" w:hAnsi="Arial" w:cs="Arial"/>
          <w:sz w:val="24"/>
          <w:szCs w:val="24"/>
        </w:rPr>
        <w:tab/>
      </w:r>
    </w:p>
    <w:p w:rsidR="000A458B" w:rsidRPr="002868D9" w:rsidRDefault="00801898" w:rsidP="00724F6C">
      <w:pPr>
        <w:spacing w:after="240" w:line="480" w:lineRule="auto"/>
        <w:ind w:firstLine="720"/>
        <w:jc w:val="both"/>
        <w:rPr>
          <w:rFonts w:ascii="Arial" w:eastAsia="Arial" w:hAnsi="Arial" w:cs="Arial"/>
          <w:sz w:val="24"/>
          <w:szCs w:val="24"/>
        </w:rPr>
      </w:pPr>
      <w:r w:rsidRPr="00801898">
        <w:rPr>
          <w:rFonts w:ascii="Arial" w:eastAsia="Arial" w:hAnsi="Arial" w:cs="Arial"/>
          <w:sz w:val="24"/>
          <w:szCs w:val="24"/>
        </w:rPr>
        <w:t xml:space="preserve">Whereas the Petitioners in a quo petition are legal entities engaged in television media and survey institutions, namely PT. Television </w:t>
      </w:r>
      <w:proofErr w:type="spellStart"/>
      <w:r w:rsidRPr="00801898">
        <w:rPr>
          <w:rFonts w:ascii="Arial" w:eastAsia="Arial" w:hAnsi="Arial" w:cs="Arial"/>
          <w:sz w:val="24"/>
          <w:szCs w:val="24"/>
        </w:rPr>
        <w:t>Transformasi</w:t>
      </w:r>
      <w:proofErr w:type="spellEnd"/>
      <w:r w:rsidRPr="00801898">
        <w:rPr>
          <w:rFonts w:ascii="Arial" w:eastAsia="Arial" w:hAnsi="Arial" w:cs="Arial"/>
          <w:sz w:val="24"/>
          <w:szCs w:val="24"/>
        </w:rPr>
        <w:t xml:space="preserve"> Indonesia, PT. Media </w:t>
      </w:r>
      <w:proofErr w:type="spellStart"/>
      <w:r w:rsidRPr="00801898">
        <w:rPr>
          <w:rFonts w:ascii="Arial" w:eastAsia="Arial" w:hAnsi="Arial" w:cs="Arial"/>
          <w:sz w:val="24"/>
          <w:szCs w:val="24"/>
        </w:rPr>
        <w:t>Televisi</w:t>
      </w:r>
      <w:proofErr w:type="spellEnd"/>
      <w:r w:rsidRPr="00801898">
        <w:rPr>
          <w:rFonts w:ascii="Arial" w:eastAsia="Arial" w:hAnsi="Arial" w:cs="Arial"/>
          <w:sz w:val="24"/>
          <w:szCs w:val="24"/>
        </w:rPr>
        <w:t xml:space="preserve"> Indonesia, PT. </w:t>
      </w:r>
      <w:proofErr w:type="spellStart"/>
      <w:r w:rsidRPr="00801898">
        <w:rPr>
          <w:rFonts w:ascii="Arial" w:eastAsia="Arial" w:hAnsi="Arial" w:cs="Arial"/>
          <w:sz w:val="24"/>
          <w:szCs w:val="24"/>
        </w:rPr>
        <w:t>Rajawali</w:t>
      </w:r>
      <w:proofErr w:type="spellEnd"/>
      <w:r w:rsidRPr="00801898">
        <w:rPr>
          <w:rFonts w:ascii="Arial" w:eastAsia="Arial" w:hAnsi="Arial" w:cs="Arial"/>
          <w:sz w:val="24"/>
          <w:szCs w:val="24"/>
        </w:rPr>
        <w:t xml:space="preserve"> Citra </w:t>
      </w:r>
      <w:proofErr w:type="spellStart"/>
      <w:r w:rsidRPr="00801898">
        <w:rPr>
          <w:rFonts w:ascii="Arial" w:eastAsia="Arial" w:hAnsi="Arial" w:cs="Arial"/>
          <w:sz w:val="24"/>
          <w:szCs w:val="24"/>
        </w:rPr>
        <w:t>Televisi</w:t>
      </w:r>
      <w:proofErr w:type="spellEnd"/>
      <w:r w:rsidRPr="00801898">
        <w:rPr>
          <w:rFonts w:ascii="Arial" w:eastAsia="Arial" w:hAnsi="Arial" w:cs="Arial"/>
          <w:sz w:val="24"/>
          <w:szCs w:val="24"/>
        </w:rPr>
        <w:t xml:space="preserve"> Indonesia, PT. </w:t>
      </w:r>
      <w:proofErr w:type="spellStart"/>
      <w:r w:rsidRPr="00801898">
        <w:rPr>
          <w:rFonts w:ascii="Arial" w:eastAsia="Arial" w:hAnsi="Arial" w:cs="Arial"/>
          <w:sz w:val="24"/>
          <w:szCs w:val="24"/>
        </w:rPr>
        <w:t>Lativi</w:t>
      </w:r>
      <w:proofErr w:type="spellEnd"/>
      <w:r w:rsidRPr="00801898">
        <w:rPr>
          <w:rFonts w:ascii="Arial" w:eastAsia="Arial" w:hAnsi="Arial" w:cs="Arial"/>
          <w:sz w:val="24"/>
          <w:szCs w:val="24"/>
        </w:rPr>
        <w:t xml:space="preserve"> </w:t>
      </w:r>
      <w:proofErr w:type="spellStart"/>
      <w:r w:rsidRPr="00801898">
        <w:rPr>
          <w:rFonts w:ascii="Arial" w:eastAsia="Arial" w:hAnsi="Arial" w:cs="Arial"/>
          <w:sz w:val="24"/>
          <w:szCs w:val="24"/>
        </w:rPr>
        <w:t>Mediakarya</w:t>
      </w:r>
      <w:proofErr w:type="spellEnd"/>
      <w:r w:rsidRPr="00801898">
        <w:rPr>
          <w:rFonts w:ascii="Arial" w:eastAsia="Arial" w:hAnsi="Arial" w:cs="Arial"/>
          <w:sz w:val="24"/>
          <w:szCs w:val="24"/>
        </w:rPr>
        <w:t xml:space="preserve">, PT. </w:t>
      </w:r>
      <w:proofErr w:type="spellStart"/>
      <w:r w:rsidRPr="00801898">
        <w:rPr>
          <w:rFonts w:ascii="Arial" w:eastAsia="Arial" w:hAnsi="Arial" w:cs="Arial"/>
          <w:sz w:val="24"/>
          <w:szCs w:val="24"/>
        </w:rPr>
        <w:t>Indosiar</w:t>
      </w:r>
      <w:proofErr w:type="spellEnd"/>
      <w:r w:rsidRPr="00801898">
        <w:rPr>
          <w:rFonts w:ascii="Arial" w:eastAsia="Arial" w:hAnsi="Arial" w:cs="Arial"/>
          <w:sz w:val="24"/>
          <w:szCs w:val="24"/>
        </w:rPr>
        <w:t xml:space="preserve"> Visual </w:t>
      </w:r>
      <w:proofErr w:type="spellStart"/>
      <w:r w:rsidRPr="00801898">
        <w:rPr>
          <w:rFonts w:ascii="Arial" w:eastAsia="Arial" w:hAnsi="Arial" w:cs="Arial"/>
          <w:sz w:val="24"/>
          <w:szCs w:val="24"/>
        </w:rPr>
        <w:t>Mandiri</w:t>
      </w:r>
      <w:proofErr w:type="spellEnd"/>
      <w:r w:rsidRPr="00801898">
        <w:rPr>
          <w:rFonts w:ascii="Arial" w:eastAsia="Arial" w:hAnsi="Arial" w:cs="Arial"/>
          <w:sz w:val="24"/>
          <w:szCs w:val="24"/>
        </w:rPr>
        <w:t xml:space="preserve">, PT. </w:t>
      </w:r>
      <w:proofErr w:type="spellStart"/>
      <w:r w:rsidRPr="00801898">
        <w:rPr>
          <w:rFonts w:ascii="Arial" w:eastAsia="Arial" w:hAnsi="Arial" w:cs="Arial"/>
          <w:sz w:val="24"/>
          <w:szCs w:val="24"/>
        </w:rPr>
        <w:t>Indikator</w:t>
      </w:r>
      <w:proofErr w:type="spellEnd"/>
      <w:r w:rsidRPr="00801898">
        <w:rPr>
          <w:rFonts w:ascii="Arial" w:eastAsia="Arial" w:hAnsi="Arial" w:cs="Arial"/>
          <w:sz w:val="24"/>
          <w:szCs w:val="24"/>
        </w:rPr>
        <w:t xml:space="preserve"> </w:t>
      </w:r>
      <w:proofErr w:type="spellStart"/>
      <w:r w:rsidRPr="00801898">
        <w:rPr>
          <w:rFonts w:ascii="Arial" w:eastAsia="Arial" w:hAnsi="Arial" w:cs="Arial"/>
          <w:sz w:val="24"/>
          <w:szCs w:val="24"/>
        </w:rPr>
        <w:t>Politik</w:t>
      </w:r>
      <w:proofErr w:type="spellEnd"/>
      <w:r w:rsidRPr="00801898">
        <w:rPr>
          <w:rFonts w:ascii="Arial" w:eastAsia="Arial" w:hAnsi="Arial" w:cs="Arial"/>
          <w:sz w:val="24"/>
          <w:szCs w:val="24"/>
        </w:rPr>
        <w:t xml:space="preserve"> Indonesia, and PT. Cyrus Nusantara.</w:t>
      </w:r>
    </w:p>
    <w:p w:rsidR="002868D9" w:rsidRDefault="00B66C7F" w:rsidP="00724F6C">
      <w:pPr>
        <w:spacing w:after="240" w:line="480" w:lineRule="auto"/>
        <w:ind w:firstLine="720"/>
        <w:jc w:val="both"/>
        <w:rPr>
          <w:rFonts w:ascii="Arial" w:eastAsia="Arial" w:hAnsi="Arial" w:cs="Arial"/>
          <w:sz w:val="24"/>
          <w:szCs w:val="24"/>
        </w:rPr>
      </w:pPr>
      <w:r w:rsidRPr="00B66C7F">
        <w:rPr>
          <w:rFonts w:ascii="Arial" w:eastAsia="Arial" w:hAnsi="Arial" w:cs="Arial"/>
          <w:sz w:val="24"/>
          <w:szCs w:val="24"/>
        </w:rPr>
        <w:t xml:space="preserve">Regarding the authority of the Court, because the Petitioners' petition is a constitutionality review of the legal norms, in </w:t>
      </w:r>
      <w:r>
        <w:rPr>
          <w:rFonts w:ascii="Arial" w:eastAsia="Arial" w:hAnsi="Arial" w:cs="Arial"/>
          <w:sz w:val="24"/>
          <w:szCs w:val="24"/>
        </w:rPr>
        <w:t xml:space="preserve">this </w:t>
      </w:r>
      <w:r w:rsidRPr="00B66C7F">
        <w:rPr>
          <w:rFonts w:ascii="Arial" w:eastAsia="Arial" w:hAnsi="Arial" w:cs="Arial"/>
          <w:sz w:val="24"/>
          <w:szCs w:val="24"/>
        </w:rPr>
        <w:t>cas</w:t>
      </w:r>
      <w:r>
        <w:rPr>
          <w:rFonts w:ascii="Arial" w:eastAsia="Arial" w:hAnsi="Arial" w:cs="Arial"/>
          <w:sz w:val="24"/>
          <w:szCs w:val="24"/>
        </w:rPr>
        <w:t>e</w:t>
      </w:r>
      <w:r w:rsidRPr="00B66C7F">
        <w:rPr>
          <w:rFonts w:ascii="Arial" w:eastAsia="Arial" w:hAnsi="Arial" w:cs="Arial"/>
          <w:sz w:val="24"/>
          <w:szCs w:val="24"/>
        </w:rPr>
        <w:t xml:space="preserve"> Article 449 paragraph (2), paragraph (5) and paragraph (6), Article 509, a</w:t>
      </w:r>
      <w:r>
        <w:rPr>
          <w:rFonts w:ascii="Arial" w:eastAsia="Arial" w:hAnsi="Arial" w:cs="Arial"/>
          <w:sz w:val="24"/>
          <w:szCs w:val="24"/>
        </w:rPr>
        <w:t>s well as</w:t>
      </w:r>
      <w:r w:rsidRPr="00B66C7F">
        <w:rPr>
          <w:rFonts w:ascii="Arial" w:eastAsia="Arial" w:hAnsi="Arial" w:cs="Arial"/>
          <w:sz w:val="24"/>
          <w:szCs w:val="24"/>
        </w:rPr>
        <w:t xml:space="preserve"> Article 540 paragraph (1) and paragraph (2 ) Law Number 7 of 2017 </w:t>
      </w:r>
      <w:r>
        <w:rPr>
          <w:rFonts w:ascii="Arial" w:eastAsia="Arial" w:hAnsi="Arial" w:cs="Arial"/>
          <w:sz w:val="24"/>
          <w:szCs w:val="24"/>
        </w:rPr>
        <w:t>regard</w:t>
      </w:r>
      <w:r w:rsidRPr="00B66C7F">
        <w:rPr>
          <w:rFonts w:ascii="Arial" w:eastAsia="Arial" w:hAnsi="Arial" w:cs="Arial"/>
          <w:sz w:val="24"/>
          <w:szCs w:val="24"/>
        </w:rPr>
        <w:t xml:space="preserve">ing General Elections (State Gazette of the Republic of Indonesia of 2017 Number 182, Supplement to the State Gazette of the Republic of Indonesia Number 6109, hereinafter referred to as Law 7/2017) and Article 197 paragraph (2) of Law Number 1 of 2015 </w:t>
      </w:r>
      <w:r>
        <w:rPr>
          <w:rFonts w:ascii="Arial" w:eastAsia="Arial" w:hAnsi="Arial" w:cs="Arial"/>
          <w:sz w:val="24"/>
          <w:szCs w:val="24"/>
        </w:rPr>
        <w:t>regard</w:t>
      </w:r>
      <w:r w:rsidRPr="00B66C7F">
        <w:rPr>
          <w:rFonts w:ascii="Arial" w:eastAsia="Arial" w:hAnsi="Arial" w:cs="Arial"/>
          <w:sz w:val="24"/>
          <w:szCs w:val="24"/>
        </w:rPr>
        <w:t xml:space="preserve">ing </w:t>
      </w:r>
      <w:r>
        <w:rPr>
          <w:rFonts w:ascii="Arial" w:eastAsia="Arial" w:hAnsi="Arial" w:cs="Arial"/>
          <w:sz w:val="24"/>
          <w:szCs w:val="24"/>
        </w:rPr>
        <w:t xml:space="preserve">Determination </w:t>
      </w:r>
      <w:r w:rsidRPr="00B66C7F">
        <w:rPr>
          <w:rFonts w:ascii="Arial" w:eastAsia="Arial" w:hAnsi="Arial" w:cs="Arial"/>
          <w:sz w:val="24"/>
          <w:szCs w:val="24"/>
        </w:rPr>
        <w:t>of Government Regulation i</w:t>
      </w:r>
      <w:r>
        <w:rPr>
          <w:rFonts w:ascii="Arial" w:eastAsia="Arial" w:hAnsi="Arial" w:cs="Arial"/>
          <w:sz w:val="24"/>
          <w:szCs w:val="24"/>
        </w:rPr>
        <w:t>n Lieu of Law Number 1 of 2014 regard</w:t>
      </w:r>
      <w:r w:rsidRPr="00B66C7F">
        <w:rPr>
          <w:rFonts w:ascii="Arial" w:eastAsia="Arial" w:hAnsi="Arial" w:cs="Arial"/>
          <w:sz w:val="24"/>
          <w:szCs w:val="24"/>
        </w:rPr>
        <w:t xml:space="preserve">ing the Election of Governors, Regents and Mayors to </w:t>
      </w:r>
      <w:r>
        <w:rPr>
          <w:rFonts w:ascii="Arial" w:eastAsia="Arial" w:hAnsi="Arial" w:cs="Arial"/>
          <w:sz w:val="24"/>
          <w:szCs w:val="24"/>
        </w:rPr>
        <w:t xml:space="preserve">Law </w:t>
      </w:r>
      <w:r w:rsidRPr="00B66C7F">
        <w:rPr>
          <w:rFonts w:ascii="Arial" w:eastAsia="Arial" w:hAnsi="Arial" w:cs="Arial"/>
          <w:sz w:val="24"/>
          <w:szCs w:val="24"/>
        </w:rPr>
        <w:t xml:space="preserve">(State Gazette of the Republic of Indonesia </w:t>
      </w:r>
      <w:r w:rsidRPr="00B66C7F">
        <w:rPr>
          <w:rFonts w:ascii="Arial" w:eastAsia="Arial" w:hAnsi="Arial" w:cs="Arial"/>
          <w:sz w:val="24"/>
          <w:szCs w:val="24"/>
        </w:rPr>
        <w:lastRenderedPageBreak/>
        <w:t>Number 245 of 2014, Supplement to the State Gazette of the Republic of Indonesia Number 5588, hereinafter referred to as Law 1/2015) on 1945 Constitution, then the Court has the authority to hear a quo petition;</w:t>
      </w:r>
    </w:p>
    <w:p w:rsidR="002868D9" w:rsidRDefault="00B66C7F" w:rsidP="00724F6C">
      <w:pPr>
        <w:spacing w:after="240" w:line="480" w:lineRule="auto"/>
        <w:ind w:firstLine="720"/>
        <w:jc w:val="both"/>
        <w:rPr>
          <w:rFonts w:ascii="Arial" w:eastAsia="Arial" w:hAnsi="Arial" w:cs="Arial"/>
          <w:sz w:val="24"/>
          <w:szCs w:val="24"/>
        </w:rPr>
      </w:pPr>
      <w:r w:rsidRPr="00B66C7F">
        <w:rPr>
          <w:rFonts w:ascii="Arial" w:eastAsia="Arial" w:hAnsi="Arial" w:cs="Arial"/>
          <w:sz w:val="24"/>
          <w:szCs w:val="24"/>
        </w:rPr>
        <w:t xml:space="preserve">Related to the legal </w:t>
      </w:r>
      <w:r>
        <w:rPr>
          <w:rFonts w:ascii="Arial" w:eastAsia="Arial" w:hAnsi="Arial" w:cs="Arial"/>
          <w:sz w:val="24"/>
          <w:szCs w:val="24"/>
        </w:rPr>
        <w:t>standing</w:t>
      </w:r>
      <w:r w:rsidRPr="00B66C7F">
        <w:rPr>
          <w:rFonts w:ascii="Arial" w:eastAsia="Arial" w:hAnsi="Arial" w:cs="Arial"/>
          <w:sz w:val="24"/>
          <w:szCs w:val="24"/>
        </w:rPr>
        <w:t xml:space="preserve"> of the Petitioners, the Court in its legal consideration only gave the legal </w:t>
      </w:r>
      <w:r>
        <w:rPr>
          <w:rFonts w:ascii="Arial" w:eastAsia="Arial" w:hAnsi="Arial" w:cs="Arial"/>
          <w:sz w:val="24"/>
          <w:szCs w:val="24"/>
        </w:rPr>
        <w:t>standing</w:t>
      </w:r>
      <w:r w:rsidRPr="00B66C7F">
        <w:rPr>
          <w:rFonts w:ascii="Arial" w:eastAsia="Arial" w:hAnsi="Arial" w:cs="Arial"/>
          <w:sz w:val="24"/>
          <w:szCs w:val="24"/>
        </w:rPr>
        <w:t xml:space="preserve"> to the Petitioners which consisted of five broadcasting institutions and one survey institute which was Petitioner I </w:t>
      </w:r>
      <w:r w:rsidR="00D332A0">
        <w:rPr>
          <w:rFonts w:ascii="Arial" w:eastAsia="Arial" w:hAnsi="Arial" w:cs="Arial"/>
          <w:sz w:val="24"/>
          <w:szCs w:val="24"/>
        </w:rPr>
        <w:t>to</w:t>
      </w:r>
      <w:r w:rsidRPr="00B66C7F">
        <w:rPr>
          <w:rFonts w:ascii="Arial" w:eastAsia="Arial" w:hAnsi="Arial" w:cs="Arial"/>
          <w:sz w:val="24"/>
          <w:szCs w:val="24"/>
        </w:rPr>
        <w:t xml:space="preserve"> Petitioner VI, wh</w:t>
      </w:r>
      <w:r w:rsidR="00D332A0">
        <w:rPr>
          <w:rFonts w:ascii="Arial" w:eastAsia="Arial" w:hAnsi="Arial" w:cs="Arial"/>
          <w:sz w:val="24"/>
          <w:szCs w:val="24"/>
        </w:rPr>
        <w:t>il</w:t>
      </w:r>
      <w:r w:rsidRPr="00B66C7F">
        <w:rPr>
          <w:rFonts w:ascii="Arial" w:eastAsia="Arial" w:hAnsi="Arial" w:cs="Arial"/>
          <w:sz w:val="24"/>
          <w:szCs w:val="24"/>
        </w:rPr>
        <w:t>e for Petitioner VII, which is also a survey institut</w:t>
      </w:r>
      <w:r w:rsidR="00D332A0">
        <w:rPr>
          <w:rFonts w:ascii="Arial" w:eastAsia="Arial" w:hAnsi="Arial" w:cs="Arial"/>
          <w:sz w:val="24"/>
          <w:szCs w:val="24"/>
        </w:rPr>
        <w:t>e,</w:t>
      </w:r>
      <w:r w:rsidRPr="00B66C7F">
        <w:rPr>
          <w:rFonts w:ascii="Arial" w:eastAsia="Arial" w:hAnsi="Arial" w:cs="Arial"/>
          <w:sz w:val="24"/>
          <w:szCs w:val="24"/>
        </w:rPr>
        <w:t xml:space="preserve"> </w:t>
      </w:r>
      <w:r w:rsidR="00FF18A8">
        <w:rPr>
          <w:rFonts w:ascii="Arial" w:eastAsia="Arial" w:hAnsi="Arial" w:cs="Arial"/>
          <w:sz w:val="24"/>
          <w:szCs w:val="24"/>
        </w:rPr>
        <w:t xml:space="preserve">the </w:t>
      </w:r>
      <w:r w:rsidR="00FF18A8" w:rsidRPr="00FF18A8">
        <w:rPr>
          <w:rFonts w:ascii="Arial" w:eastAsia="Arial" w:hAnsi="Arial" w:cs="Arial"/>
          <w:sz w:val="24"/>
          <w:szCs w:val="24"/>
        </w:rPr>
        <w:t xml:space="preserve">Court decided it had no legal standing because the evidence presented was not sufficient to prove that the </w:t>
      </w:r>
      <w:r w:rsidR="00FF18A8">
        <w:rPr>
          <w:rFonts w:ascii="Arial" w:eastAsia="Arial" w:hAnsi="Arial" w:cs="Arial"/>
          <w:sz w:val="24"/>
          <w:szCs w:val="24"/>
        </w:rPr>
        <w:t>Petitioner</w:t>
      </w:r>
      <w:r w:rsidR="00FF18A8" w:rsidRPr="00FF18A8">
        <w:rPr>
          <w:rFonts w:ascii="Arial" w:eastAsia="Arial" w:hAnsi="Arial" w:cs="Arial"/>
          <w:sz w:val="24"/>
          <w:szCs w:val="24"/>
        </w:rPr>
        <w:t xml:space="preserve"> VII has no legal standing</w:t>
      </w:r>
      <w:r w:rsidR="00FF18A8">
        <w:rPr>
          <w:rFonts w:ascii="Arial" w:eastAsia="Arial" w:hAnsi="Arial" w:cs="Arial"/>
          <w:sz w:val="24"/>
          <w:szCs w:val="24"/>
        </w:rPr>
        <w:t>.</w:t>
      </w:r>
    </w:p>
    <w:p w:rsidR="002868D9" w:rsidRDefault="009F57A1" w:rsidP="00724F6C">
      <w:pPr>
        <w:spacing w:after="240" w:line="480" w:lineRule="auto"/>
        <w:ind w:firstLine="720"/>
        <w:jc w:val="both"/>
        <w:rPr>
          <w:rFonts w:ascii="Arial" w:eastAsia="Arial" w:hAnsi="Arial" w:cs="Arial"/>
          <w:sz w:val="24"/>
          <w:szCs w:val="24"/>
        </w:rPr>
      </w:pPr>
      <w:r w:rsidRPr="009F57A1">
        <w:rPr>
          <w:rFonts w:ascii="Arial" w:eastAsia="Arial" w:hAnsi="Arial" w:cs="Arial"/>
          <w:sz w:val="24"/>
          <w:szCs w:val="24"/>
        </w:rPr>
        <w:t xml:space="preserve">Whereas in relation to the </w:t>
      </w:r>
      <w:r>
        <w:rPr>
          <w:rFonts w:ascii="Arial" w:eastAsia="Arial" w:hAnsi="Arial" w:cs="Arial"/>
          <w:sz w:val="24"/>
          <w:szCs w:val="24"/>
        </w:rPr>
        <w:t>principal</w:t>
      </w:r>
      <w:r w:rsidRPr="009F57A1">
        <w:rPr>
          <w:rFonts w:ascii="Arial" w:eastAsia="Arial" w:hAnsi="Arial" w:cs="Arial"/>
          <w:sz w:val="24"/>
          <w:szCs w:val="24"/>
        </w:rPr>
        <w:t xml:space="preserve"> petition, basically the Petitioners </w:t>
      </w:r>
      <w:r>
        <w:rPr>
          <w:rFonts w:ascii="Arial" w:eastAsia="Arial" w:hAnsi="Arial" w:cs="Arial"/>
          <w:sz w:val="24"/>
          <w:szCs w:val="24"/>
        </w:rPr>
        <w:t>file</w:t>
      </w:r>
      <w:r w:rsidRPr="009F57A1">
        <w:rPr>
          <w:rFonts w:ascii="Arial" w:eastAsia="Arial" w:hAnsi="Arial" w:cs="Arial"/>
          <w:sz w:val="24"/>
          <w:szCs w:val="24"/>
        </w:rPr>
        <w:t xml:space="preserve"> </w:t>
      </w:r>
      <w:r>
        <w:rPr>
          <w:rFonts w:ascii="Arial" w:eastAsia="Arial" w:hAnsi="Arial" w:cs="Arial"/>
          <w:sz w:val="24"/>
          <w:szCs w:val="24"/>
        </w:rPr>
        <w:t>C</w:t>
      </w:r>
      <w:r w:rsidRPr="009F57A1">
        <w:rPr>
          <w:rFonts w:ascii="Arial" w:eastAsia="Arial" w:hAnsi="Arial" w:cs="Arial"/>
          <w:sz w:val="24"/>
          <w:szCs w:val="24"/>
        </w:rPr>
        <w:t xml:space="preserve">onstitutionality </w:t>
      </w:r>
      <w:r>
        <w:rPr>
          <w:rFonts w:ascii="Arial" w:eastAsia="Arial" w:hAnsi="Arial" w:cs="Arial"/>
          <w:sz w:val="24"/>
          <w:szCs w:val="24"/>
        </w:rPr>
        <w:t>Review</w:t>
      </w:r>
      <w:r w:rsidRPr="009F57A1">
        <w:rPr>
          <w:rFonts w:ascii="Arial" w:eastAsia="Arial" w:hAnsi="Arial" w:cs="Arial"/>
          <w:sz w:val="24"/>
          <w:szCs w:val="24"/>
        </w:rPr>
        <w:t xml:space="preserve"> related to the prohibition of Announcement of </w:t>
      </w:r>
      <w:r>
        <w:rPr>
          <w:rFonts w:ascii="Arial" w:eastAsia="Arial" w:hAnsi="Arial" w:cs="Arial"/>
          <w:sz w:val="24"/>
          <w:szCs w:val="24"/>
        </w:rPr>
        <w:t xml:space="preserve">the </w:t>
      </w:r>
      <w:r w:rsidRPr="009F57A1">
        <w:rPr>
          <w:rFonts w:ascii="Arial" w:eastAsia="Arial" w:hAnsi="Arial" w:cs="Arial"/>
          <w:sz w:val="24"/>
          <w:szCs w:val="24"/>
        </w:rPr>
        <w:t xml:space="preserve">results </w:t>
      </w:r>
      <w:r>
        <w:rPr>
          <w:rFonts w:ascii="Arial" w:eastAsia="Arial" w:hAnsi="Arial" w:cs="Arial"/>
          <w:sz w:val="24"/>
          <w:szCs w:val="24"/>
        </w:rPr>
        <w:t xml:space="preserve">of </w:t>
      </w:r>
      <w:r w:rsidRPr="009F57A1">
        <w:rPr>
          <w:rFonts w:ascii="Arial" w:eastAsia="Arial" w:hAnsi="Arial" w:cs="Arial"/>
          <w:sz w:val="24"/>
          <w:szCs w:val="24"/>
        </w:rPr>
        <w:t>survey</w:t>
      </w:r>
      <w:r w:rsidR="00330353">
        <w:rPr>
          <w:rFonts w:ascii="Arial" w:eastAsia="Arial" w:hAnsi="Arial" w:cs="Arial"/>
          <w:sz w:val="24"/>
          <w:szCs w:val="24"/>
        </w:rPr>
        <w:t>s</w:t>
      </w:r>
      <w:r w:rsidRPr="009F57A1">
        <w:rPr>
          <w:rFonts w:ascii="Arial" w:eastAsia="Arial" w:hAnsi="Arial" w:cs="Arial"/>
          <w:sz w:val="24"/>
          <w:szCs w:val="24"/>
        </w:rPr>
        <w:t xml:space="preserve"> or opinion poll</w:t>
      </w:r>
      <w:r w:rsidR="00330353">
        <w:rPr>
          <w:rFonts w:ascii="Arial" w:eastAsia="Arial" w:hAnsi="Arial" w:cs="Arial"/>
          <w:sz w:val="24"/>
          <w:szCs w:val="24"/>
        </w:rPr>
        <w:t>s</w:t>
      </w:r>
      <w:r>
        <w:rPr>
          <w:rFonts w:ascii="Arial" w:eastAsia="Arial" w:hAnsi="Arial" w:cs="Arial"/>
          <w:sz w:val="24"/>
          <w:szCs w:val="24"/>
        </w:rPr>
        <w:t xml:space="preserve"> of </w:t>
      </w:r>
      <w:r w:rsidR="00330353">
        <w:rPr>
          <w:rFonts w:ascii="Arial" w:eastAsia="Arial" w:hAnsi="Arial" w:cs="Arial"/>
          <w:sz w:val="24"/>
          <w:szCs w:val="24"/>
        </w:rPr>
        <w:t xml:space="preserve">the </w:t>
      </w:r>
      <w:r w:rsidRPr="009F57A1">
        <w:rPr>
          <w:rFonts w:ascii="Arial" w:eastAsia="Arial" w:hAnsi="Arial" w:cs="Arial"/>
          <w:sz w:val="24"/>
          <w:szCs w:val="24"/>
        </w:rPr>
        <w:t>General</w:t>
      </w:r>
      <w:r>
        <w:rPr>
          <w:rFonts w:ascii="Arial" w:eastAsia="Arial" w:hAnsi="Arial" w:cs="Arial"/>
          <w:sz w:val="24"/>
          <w:szCs w:val="24"/>
        </w:rPr>
        <w:t xml:space="preserve"> Election</w:t>
      </w:r>
      <w:r w:rsidRPr="009F57A1">
        <w:rPr>
          <w:rFonts w:ascii="Arial" w:eastAsia="Arial" w:hAnsi="Arial" w:cs="Arial"/>
          <w:sz w:val="24"/>
          <w:szCs w:val="24"/>
        </w:rPr>
        <w:t xml:space="preserve"> conducted during the Quiet Period and Announcement of </w:t>
      </w:r>
      <w:r w:rsidR="009072DE" w:rsidRPr="009072DE">
        <w:rPr>
          <w:rFonts w:ascii="Arial" w:eastAsia="Arial" w:hAnsi="Arial" w:cs="Arial"/>
          <w:sz w:val="24"/>
          <w:szCs w:val="24"/>
        </w:rPr>
        <w:t>forecasts</w:t>
      </w:r>
      <w:r w:rsidRPr="009F57A1">
        <w:rPr>
          <w:rFonts w:ascii="Arial" w:eastAsia="Arial" w:hAnsi="Arial" w:cs="Arial"/>
          <w:sz w:val="24"/>
          <w:szCs w:val="24"/>
        </w:rPr>
        <w:t xml:space="preserve"> </w:t>
      </w:r>
      <w:r w:rsidR="00330353">
        <w:rPr>
          <w:rFonts w:ascii="Arial" w:eastAsia="Arial" w:hAnsi="Arial" w:cs="Arial"/>
          <w:sz w:val="24"/>
          <w:szCs w:val="24"/>
        </w:rPr>
        <w:t>f</w:t>
      </w:r>
      <w:r w:rsidRPr="009F57A1">
        <w:rPr>
          <w:rFonts w:ascii="Arial" w:eastAsia="Arial" w:hAnsi="Arial" w:cs="Arial"/>
          <w:sz w:val="24"/>
          <w:szCs w:val="24"/>
        </w:rPr>
        <w:t>o</w:t>
      </w:r>
      <w:r w:rsidR="00330353">
        <w:rPr>
          <w:rFonts w:ascii="Arial" w:eastAsia="Arial" w:hAnsi="Arial" w:cs="Arial"/>
          <w:sz w:val="24"/>
          <w:szCs w:val="24"/>
        </w:rPr>
        <w:t>r</w:t>
      </w:r>
      <w:r w:rsidRPr="009F57A1">
        <w:rPr>
          <w:rFonts w:ascii="Arial" w:eastAsia="Arial" w:hAnsi="Arial" w:cs="Arial"/>
          <w:sz w:val="24"/>
          <w:szCs w:val="24"/>
        </w:rPr>
        <w:t xml:space="preserve"> the results of the quick count of the General Election which may only be conducted no sooner than 2 (two) hours after the voting is finished in the western Indonesia </w:t>
      </w:r>
      <w:r>
        <w:rPr>
          <w:rFonts w:ascii="Arial" w:eastAsia="Arial" w:hAnsi="Arial" w:cs="Arial"/>
          <w:sz w:val="24"/>
          <w:szCs w:val="24"/>
        </w:rPr>
        <w:t xml:space="preserve">region </w:t>
      </w:r>
      <w:r w:rsidRPr="009F57A1">
        <w:rPr>
          <w:rFonts w:ascii="Arial" w:eastAsia="Arial" w:hAnsi="Arial" w:cs="Arial"/>
          <w:sz w:val="24"/>
          <w:szCs w:val="24"/>
        </w:rPr>
        <w:t xml:space="preserve">which results in </w:t>
      </w:r>
      <w:r w:rsidR="00330353" w:rsidRPr="00567E54">
        <w:rPr>
          <w:rFonts w:ascii="Arial" w:eastAsia="Arial" w:hAnsi="Arial" w:cs="Arial"/>
          <w:sz w:val="24"/>
          <w:szCs w:val="24"/>
        </w:rPr>
        <w:t xml:space="preserve">the occurrence </w:t>
      </w:r>
      <w:r w:rsidR="00330353">
        <w:rPr>
          <w:rFonts w:ascii="Arial" w:eastAsia="Arial" w:hAnsi="Arial" w:cs="Arial"/>
          <w:sz w:val="24"/>
          <w:szCs w:val="24"/>
        </w:rPr>
        <w:t xml:space="preserve">of </w:t>
      </w:r>
      <w:r w:rsidRPr="009F57A1">
        <w:rPr>
          <w:rFonts w:ascii="Arial" w:eastAsia="Arial" w:hAnsi="Arial" w:cs="Arial"/>
          <w:sz w:val="24"/>
          <w:szCs w:val="24"/>
        </w:rPr>
        <w:t>election</w:t>
      </w:r>
      <w:r>
        <w:rPr>
          <w:rFonts w:ascii="Arial" w:eastAsia="Arial" w:hAnsi="Arial" w:cs="Arial"/>
          <w:sz w:val="24"/>
          <w:szCs w:val="24"/>
        </w:rPr>
        <w:t xml:space="preserve"> criminal</w:t>
      </w:r>
      <w:r w:rsidRPr="009F57A1">
        <w:rPr>
          <w:rFonts w:ascii="Arial" w:eastAsia="Arial" w:hAnsi="Arial" w:cs="Arial"/>
          <w:sz w:val="24"/>
          <w:szCs w:val="24"/>
        </w:rPr>
        <w:t xml:space="preserve"> offenses as </w:t>
      </w:r>
      <w:r>
        <w:rPr>
          <w:rFonts w:ascii="Arial" w:eastAsia="Arial" w:hAnsi="Arial" w:cs="Arial"/>
          <w:sz w:val="24"/>
          <w:szCs w:val="24"/>
        </w:rPr>
        <w:t>provid</w:t>
      </w:r>
      <w:r w:rsidRPr="009F57A1">
        <w:rPr>
          <w:rFonts w:ascii="Arial" w:eastAsia="Arial" w:hAnsi="Arial" w:cs="Arial"/>
          <w:sz w:val="24"/>
          <w:szCs w:val="24"/>
        </w:rPr>
        <w:t xml:space="preserve">ed </w:t>
      </w:r>
      <w:r>
        <w:rPr>
          <w:rFonts w:ascii="Arial" w:eastAsia="Arial" w:hAnsi="Arial" w:cs="Arial"/>
          <w:sz w:val="24"/>
          <w:szCs w:val="24"/>
        </w:rPr>
        <w:t xml:space="preserve">for </w:t>
      </w:r>
      <w:r w:rsidRPr="009F57A1">
        <w:rPr>
          <w:rFonts w:ascii="Arial" w:eastAsia="Arial" w:hAnsi="Arial" w:cs="Arial"/>
          <w:sz w:val="24"/>
          <w:szCs w:val="24"/>
        </w:rPr>
        <w:t>in Article 449 paragraph (2), paragraph (5) and paragraph (6), Article 509 and Article 540 paragraph (1) and paragraph (2) of Law 7/2017.</w:t>
      </w:r>
      <w:r w:rsidR="00B06F44">
        <w:rPr>
          <w:rFonts w:ascii="Arial" w:eastAsia="Arial" w:hAnsi="Arial" w:cs="Arial"/>
          <w:sz w:val="24"/>
          <w:szCs w:val="24"/>
        </w:rPr>
        <w:t xml:space="preserve"> </w:t>
      </w:r>
      <w:r w:rsidRPr="009F57A1">
        <w:rPr>
          <w:rFonts w:ascii="Arial" w:eastAsia="Arial" w:hAnsi="Arial" w:cs="Arial"/>
          <w:sz w:val="24"/>
          <w:szCs w:val="24"/>
        </w:rPr>
        <w:t>According to the Petitioners</w:t>
      </w:r>
      <w:r>
        <w:rPr>
          <w:rFonts w:ascii="Arial" w:eastAsia="Arial" w:hAnsi="Arial" w:cs="Arial"/>
          <w:sz w:val="24"/>
          <w:szCs w:val="24"/>
        </w:rPr>
        <w:t xml:space="preserve"> for</w:t>
      </w:r>
      <w:r w:rsidRPr="009F57A1">
        <w:rPr>
          <w:rFonts w:ascii="Arial" w:eastAsia="Arial" w:hAnsi="Arial" w:cs="Arial"/>
          <w:sz w:val="24"/>
          <w:szCs w:val="24"/>
        </w:rPr>
        <w:t xml:space="preserve"> the norms of a quo articles, in addition to being contrary to Article 28D paragraph (1), Article 28E paragraph (3) and Article 28F, Article 28G paragraph (1), Article 28I paragraph (4) of the 1945 Constitution, also by the Constitution</w:t>
      </w:r>
      <w:r>
        <w:rPr>
          <w:rFonts w:ascii="Arial" w:eastAsia="Arial" w:hAnsi="Arial" w:cs="Arial"/>
          <w:sz w:val="24"/>
          <w:szCs w:val="24"/>
        </w:rPr>
        <w:t>al</w:t>
      </w:r>
      <w:r w:rsidRPr="009F57A1">
        <w:rPr>
          <w:rFonts w:ascii="Arial" w:eastAsia="Arial" w:hAnsi="Arial" w:cs="Arial"/>
          <w:sz w:val="24"/>
          <w:szCs w:val="24"/>
        </w:rPr>
        <w:t xml:space="preserve"> Court has been declared as having no binding legal force as decided by the Court in the Decision case Number 9/PUU-VII/2009, dated March </w:t>
      </w:r>
      <w:r>
        <w:rPr>
          <w:rFonts w:ascii="Arial" w:eastAsia="Arial" w:hAnsi="Arial" w:cs="Arial"/>
          <w:sz w:val="24"/>
          <w:szCs w:val="24"/>
        </w:rPr>
        <w:t xml:space="preserve">30, </w:t>
      </w:r>
      <w:r w:rsidRPr="009F57A1">
        <w:rPr>
          <w:rFonts w:ascii="Arial" w:eastAsia="Arial" w:hAnsi="Arial" w:cs="Arial"/>
          <w:sz w:val="24"/>
          <w:szCs w:val="24"/>
        </w:rPr>
        <w:t xml:space="preserve">2009 </w:t>
      </w:r>
      <w:r>
        <w:rPr>
          <w:rFonts w:ascii="Arial" w:eastAsia="Arial" w:hAnsi="Arial" w:cs="Arial"/>
          <w:sz w:val="24"/>
          <w:szCs w:val="24"/>
        </w:rPr>
        <w:t>in conjunction with</w:t>
      </w:r>
      <w:r w:rsidRPr="009F57A1">
        <w:rPr>
          <w:rFonts w:ascii="Arial" w:eastAsia="Arial" w:hAnsi="Arial" w:cs="Arial"/>
          <w:sz w:val="24"/>
          <w:szCs w:val="24"/>
        </w:rPr>
        <w:t xml:space="preserve"> Decision Number 98/PUU-VII/2009, dated July</w:t>
      </w:r>
      <w:r>
        <w:rPr>
          <w:rFonts w:ascii="Arial" w:eastAsia="Arial" w:hAnsi="Arial" w:cs="Arial"/>
          <w:sz w:val="24"/>
          <w:szCs w:val="24"/>
        </w:rPr>
        <w:t xml:space="preserve"> 3,</w:t>
      </w:r>
      <w:r w:rsidRPr="009F57A1">
        <w:rPr>
          <w:rFonts w:ascii="Arial" w:eastAsia="Arial" w:hAnsi="Arial" w:cs="Arial"/>
          <w:sz w:val="24"/>
          <w:szCs w:val="24"/>
        </w:rPr>
        <w:t xml:space="preserve"> 2009 </w:t>
      </w:r>
      <w:r>
        <w:rPr>
          <w:rFonts w:ascii="Arial" w:eastAsia="Arial" w:hAnsi="Arial" w:cs="Arial"/>
          <w:sz w:val="24"/>
          <w:szCs w:val="24"/>
        </w:rPr>
        <w:t>in conjunction with</w:t>
      </w:r>
      <w:r w:rsidRPr="009F57A1">
        <w:rPr>
          <w:rFonts w:ascii="Arial" w:eastAsia="Arial" w:hAnsi="Arial" w:cs="Arial"/>
          <w:sz w:val="24"/>
          <w:szCs w:val="24"/>
        </w:rPr>
        <w:t xml:space="preserve"> Decision Number 24/PUU -XII/2014, dated April 3, 2014.</w:t>
      </w:r>
    </w:p>
    <w:p w:rsidR="002868D9" w:rsidRDefault="00B06F44" w:rsidP="00724F6C">
      <w:pPr>
        <w:spacing w:after="240" w:line="480" w:lineRule="auto"/>
        <w:ind w:firstLine="720"/>
        <w:jc w:val="both"/>
        <w:rPr>
          <w:rFonts w:ascii="Arial" w:eastAsia="Arial" w:hAnsi="Arial" w:cs="Arial"/>
          <w:sz w:val="24"/>
          <w:szCs w:val="24"/>
        </w:rPr>
      </w:pPr>
      <w:r w:rsidRPr="00B06F44">
        <w:rPr>
          <w:rFonts w:ascii="Arial" w:eastAsia="Arial" w:hAnsi="Arial" w:cs="Arial"/>
          <w:sz w:val="24"/>
          <w:szCs w:val="24"/>
        </w:rPr>
        <w:lastRenderedPageBreak/>
        <w:t xml:space="preserve">In addition, according to the Petitioners, automatically the legal considerations of the Court in the three previous Court decisions related to a quo articles should also be considered </w:t>
      </w:r>
      <w:r>
        <w:rPr>
          <w:rFonts w:ascii="Arial" w:eastAsia="Arial" w:hAnsi="Arial" w:cs="Arial"/>
          <w:sz w:val="24"/>
          <w:szCs w:val="24"/>
        </w:rPr>
        <w:t xml:space="preserve">will apply </w:t>
      </w:r>
      <w:r w:rsidRPr="00B06F44">
        <w:rPr>
          <w:rFonts w:ascii="Arial" w:eastAsia="Arial" w:hAnsi="Arial" w:cs="Arial"/>
          <w:sz w:val="24"/>
          <w:szCs w:val="24"/>
        </w:rPr>
        <w:t xml:space="preserve">mutatis mutandis for a quo petition. According to the Petitioners, the existence of </w:t>
      </w:r>
      <w:r>
        <w:rPr>
          <w:rFonts w:ascii="Arial" w:eastAsia="Arial" w:hAnsi="Arial" w:cs="Arial"/>
          <w:sz w:val="24"/>
          <w:szCs w:val="24"/>
        </w:rPr>
        <w:t xml:space="preserve">the </w:t>
      </w:r>
      <w:r w:rsidRPr="00B06F44">
        <w:rPr>
          <w:rFonts w:ascii="Arial" w:eastAsia="Arial" w:hAnsi="Arial" w:cs="Arial"/>
          <w:sz w:val="24"/>
          <w:szCs w:val="24"/>
        </w:rPr>
        <w:t>a</w:t>
      </w:r>
      <w:r>
        <w:rPr>
          <w:rFonts w:ascii="Arial" w:eastAsia="Arial" w:hAnsi="Arial" w:cs="Arial"/>
          <w:sz w:val="24"/>
          <w:szCs w:val="24"/>
        </w:rPr>
        <w:t xml:space="preserve">ct of </w:t>
      </w:r>
      <w:r w:rsidRPr="00B06F44">
        <w:rPr>
          <w:rFonts w:ascii="Arial" w:eastAsia="Arial" w:hAnsi="Arial" w:cs="Arial"/>
          <w:sz w:val="24"/>
          <w:szCs w:val="24"/>
        </w:rPr>
        <w:t xml:space="preserve">copying </w:t>
      </w:r>
      <w:r>
        <w:rPr>
          <w:rFonts w:ascii="Arial" w:eastAsia="Arial" w:hAnsi="Arial" w:cs="Arial"/>
          <w:sz w:val="24"/>
          <w:szCs w:val="24"/>
        </w:rPr>
        <w:t>whole</w:t>
      </w:r>
      <w:r w:rsidRPr="00B06F44">
        <w:rPr>
          <w:rFonts w:ascii="Arial" w:eastAsia="Arial" w:hAnsi="Arial" w:cs="Arial"/>
          <w:sz w:val="24"/>
          <w:szCs w:val="24"/>
        </w:rPr>
        <w:t xml:space="preserve"> articles that have been declared unconstitutional by the Court is an act of disregarding the constitution that is maintained by the Court through its decisions and therefore easily and as soon as possible the Court should </w:t>
      </w:r>
      <w:r w:rsidR="009072DE">
        <w:rPr>
          <w:rFonts w:ascii="Arial" w:eastAsia="Arial" w:hAnsi="Arial" w:cs="Arial"/>
          <w:sz w:val="24"/>
          <w:szCs w:val="24"/>
        </w:rPr>
        <w:t>remedy</w:t>
      </w:r>
      <w:r w:rsidRPr="00B06F44">
        <w:rPr>
          <w:rFonts w:ascii="Arial" w:eastAsia="Arial" w:hAnsi="Arial" w:cs="Arial"/>
          <w:sz w:val="24"/>
          <w:szCs w:val="24"/>
        </w:rPr>
        <w:t xml:space="preserve"> the constitutional rights of citizens </w:t>
      </w:r>
      <w:r w:rsidR="009072DE">
        <w:rPr>
          <w:rFonts w:ascii="Arial" w:eastAsia="Arial" w:hAnsi="Arial" w:cs="Arial"/>
          <w:sz w:val="24"/>
          <w:szCs w:val="24"/>
        </w:rPr>
        <w:t>that</w:t>
      </w:r>
      <w:r w:rsidRPr="00B06F44">
        <w:rPr>
          <w:rFonts w:ascii="Arial" w:eastAsia="Arial" w:hAnsi="Arial" w:cs="Arial"/>
          <w:sz w:val="24"/>
          <w:szCs w:val="24"/>
        </w:rPr>
        <w:t xml:space="preserve"> ha</w:t>
      </w:r>
      <w:r w:rsidR="009072DE">
        <w:rPr>
          <w:rFonts w:ascii="Arial" w:eastAsia="Arial" w:hAnsi="Arial" w:cs="Arial"/>
          <w:sz w:val="24"/>
          <w:szCs w:val="24"/>
        </w:rPr>
        <w:t>s</w:t>
      </w:r>
      <w:r w:rsidRPr="00B06F44">
        <w:rPr>
          <w:rFonts w:ascii="Arial" w:eastAsia="Arial" w:hAnsi="Arial" w:cs="Arial"/>
          <w:sz w:val="24"/>
          <w:szCs w:val="24"/>
        </w:rPr>
        <w:t xml:space="preserve"> been taken away by a quo articles by quickly deciding this petition in accordance with legal considerations that have been set forth by the Court in previous decisions;</w:t>
      </w:r>
    </w:p>
    <w:p w:rsidR="000A458B" w:rsidRPr="002868D9" w:rsidRDefault="009072DE" w:rsidP="00724F6C">
      <w:pPr>
        <w:spacing w:after="240" w:line="480" w:lineRule="auto"/>
        <w:ind w:firstLine="720"/>
        <w:jc w:val="both"/>
        <w:rPr>
          <w:rFonts w:ascii="Arial" w:eastAsia="Arial" w:hAnsi="Arial" w:cs="Arial"/>
          <w:sz w:val="24"/>
          <w:szCs w:val="24"/>
        </w:rPr>
      </w:pPr>
      <w:r w:rsidRPr="009072DE">
        <w:rPr>
          <w:rFonts w:ascii="Arial" w:eastAsia="Arial" w:hAnsi="Arial" w:cs="Arial"/>
          <w:sz w:val="24"/>
          <w:szCs w:val="24"/>
        </w:rPr>
        <w:t xml:space="preserve">In its legal considerations, the Court principally </w:t>
      </w:r>
      <w:r>
        <w:rPr>
          <w:rFonts w:ascii="Arial" w:eastAsia="Arial" w:hAnsi="Arial" w:cs="Arial"/>
          <w:sz w:val="24"/>
          <w:szCs w:val="24"/>
        </w:rPr>
        <w:t>declar</w:t>
      </w:r>
      <w:r w:rsidRPr="009072DE">
        <w:rPr>
          <w:rFonts w:ascii="Arial" w:eastAsia="Arial" w:hAnsi="Arial" w:cs="Arial"/>
          <w:sz w:val="24"/>
          <w:szCs w:val="24"/>
        </w:rPr>
        <w:t>es as follows:</w:t>
      </w:r>
    </w:p>
    <w:p w:rsidR="000A458B" w:rsidRPr="002868D9" w:rsidRDefault="00902E88" w:rsidP="00724F6C">
      <w:pPr>
        <w:spacing w:after="240" w:line="480" w:lineRule="auto"/>
        <w:ind w:left="1440" w:hanging="720"/>
        <w:jc w:val="both"/>
        <w:rPr>
          <w:rFonts w:ascii="Arial" w:eastAsia="Arial" w:hAnsi="Arial" w:cs="Arial"/>
          <w:sz w:val="24"/>
          <w:szCs w:val="24"/>
        </w:rPr>
      </w:pPr>
      <w:r w:rsidRPr="002868D9">
        <w:rPr>
          <w:rFonts w:ascii="Arial" w:eastAsia="Arial" w:hAnsi="Arial" w:cs="Arial"/>
          <w:sz w:val="24"/>
          <w:szCs w:val="24"/>
        </w:rPr>
        <w:t xml:space="preserve">a. </w:t>
      </w:r>
      <w:r w:rsidR="002868D9">
        <w:rPr>
          <w:rFonts w:ascii="Arial" w:eastAsia="Arial" w:hAnsi="Arial" w:cs="Arial"/>
          <w:sz w:val="24"/>
          <w:szCs w:val="24"/>
        </w:rPr>
        <w:tab/>
      </w:r>
      <w:r w:rsidR="00567E54" w:rsidRPr="00567E54">
        <w:rPr>
          <w:rFonts w:ascii="Arial" w:eastAsia="Arial" w:hAnsi="Arial" w:cs="Arial"/>
          <w:sz w:val="24"/>
          <w:szCs w:val="24"/>
        </w:rPr>
        <w:t>Whereas the Petitioners' petition in essence questioning the constitutionality issue regarding the prohibition of the announcement of the results of surveys or opinion polls</w:t>
      </w:r>
      <w:r w:rsidR="00567E54">
        <w:rPr>
          <w:rFonts w:ascii="Arial" w:eastAsia="Arial" w:hAnsi="Arial" w:cs="Arial"/>
          <w:sz w:val="24"/>
          <w:szCs w:val="24"/>
        </w:rPr>
        <w:t xml:space="preserve"> of the General Election</w:t>
      </w:r>
      <w:r w:rsidR="00567E54" w:rsidRPr="00567E54">
        <w:rPr>
          <w:rFonts w:ascii="Arial" w:eastAsia="Arial" w:hAnsi="Arial" w:cs="Arial"/>
          <w:sz w:val="24"/>
          <w:szCs w:val="24"/>
        </w:rPr>
        <w:t xml:space="preserve"> conducted during the </w:t>
      </w:r>
      <w:r w:rsidR="00567E54">
        <w:rPr>
          <w:rFonts w:ascii="Arial" w:eastAsia="Arial" w:hAnsi="Arial" w:cs="Arial"/>
          <w:sz w:val="24"/>
          <w:szCs w:val="24"/>
        </w:rPr>
        <w:t>Qui</w:t>
      </w:r>
      <w:r w:rsidR="00794D39">
        <w:rPr>
          <w:rFonts w:ascii="Arial" w:eastAsia="Arial" w:hAnsi="Arial" w:cs="Arial"/>
          <w:sz w:val="24"/>
          <w:szCs w:val="24"/>
        </w:rPr>
        <w:t>e</w:t>
      </w:r>
      <w:r w:rsidR="00567E54">
        <w:rPr>
          <w:rFonts w:ascii="Arial" w:eastAsia="Arial" w:hAnsi="Arial" w:cs="Arial"/>
          <w:sz w:val="24"/>
          <w:szCs w:val="24"/>
        </w:rPr>
        <w:t>t</w:t>
      </w:r>
      <w:r w:rsidR="00567E54" w:rsidRPr="00567E54">
        <w:rPr>
          <w:rFonts w:ascii="Arial" w:eastAsia="Arial" w:hAnsi="Arial" w:cs="Arial"/>
          <w:sz w:val="24"/>
          <w:szCs w:val="24"/>
        </w:rPr>
        <w:t xml:space="preserve"> Period and the announcement of forecasts </w:t>
      </w:r>
      <w:r w:rsidR="00567E54">
        <w:rPr>
          <w:rFonts w:ascii="Arial" w:eastAsia="Arial" w:hAnsi="Arial" w:cs="Arial"/>
          <w:sz w:val="24"/>
          <w:szCs w:val="24"/>
        </w:rPr>
        <w:t>for</w:t>
      </w:r>
      <w:r w:rsidR="00567E54" w:rsidRPr="00567E54">
        <w:rPr>
          <w:rFonts w:ascii="Arial" w:eastAsia="Arial" w:hAnsi="Arial" w:cs="Arial"/>
          <w:sz w:val="24"/>
          <w:szCs w:val="24"/>
        </w:rPr>
        <w:t xml:space="preserve"> the results of the quick counts of the </w:t>
      </w:r>
      <w:r w:rsidR="00567E54">
        <w:rPr>
          <w:rFonts w:ascii="Arial" w:eastAsia="Arial" w:hAnsi="Arial" w:cs="Arial"/>
          <w:sz w:val="24"/>
          <w:szCs w:val="24"/>
        </w:rPr>
        <w:t>General E</w:t>
      </w:r>
      <w:r w:rsidR="00567E54" w:rsidRPr="00567E54">
        <w:rPr>
          <w:rFonts w:ascii="Arial" w:eastAsia="Arial" w:hAnsi="Arial" w:cs="Arial"/>
          <w:sz w:val="24"/>
          <w:szCs w:val="24"/>
        </w:rPr>
        <w:t>lection which may only be conducted no sooner than 2 (two) hours after the completion of the voting in western Indonesia</w:t>
      </w:r>
      <w:r w:rsidR="00330353">
        <w:rPr>
          <w:rFonts w:ascii="Arial" w:eastAsia="Arial" w:hAnsi="Arial" w:cs="Arial"/>
          <w:sz w:val="24"/>
          <w:szCs w:val="24"/>
        </w:rPr>
        <w:t xml:space="preserve"> region which </w:t>
      </w:r>
      <w:r w:rsidR="00567E54" w:rsidRPr="00567E54">
        <w:rPr>
          <w:rFonts w:ascii="Arial" w:eastAsia="Arial" w:hAnsi="Arial" w:cs="Arial"/>
          <w:sz w:val="24"/>
          <w:szCs w:val="24"/>
        </w:rPr>
        <w:t>result</w:t>
      </w:r>
      <w:r w:rsidR="00330353">
        <w:rPr>
          <w:rFonts w:ascii="Arial" w:eastAsia="Arial" w:hAnsi="Arial" w:cs="Arial"/>
          <w:sz w:val="24"/>
          <w:szCs w:val="24"/>
        </w:rPr>
        <w:t xml:space="preserve">s </w:t>
      </w:r>
      <w:r w:rsidR="00567E54" w:rsidRPr="00567E54">
        <w:rPr>
          <w:rFonts w:ascii="Arial" w:eastAsia="Arial" w:hAnsi="Arial" w:cs="Arial"/>
          <w:sz w:val="24"/>
          <w:szCs w:val="24"/>
        </w:rPr>
        <w:t xml:space="preserve">in the occurrence of Election criminal </w:t>
      </w:r>
      <w:r w:rsidR="00330353" w:rsidRPr="009F57A1">
        <w:rPr>
          <w:rFonts w:ascii="Arial" w:eastAsia="Arial" w:hAnsi="Arial" w:cs="Arial"/>
          <w:sz w:val="24"/>
          <w:szCs w:val="24"/>
        </w:rPr>
        <w:t xml:space="preserve">offenses as </w:t>
      </w:r>
      <w:r w:rsidR="00330353">
        <w:rPr>
          <w:rFonts w:ascii="Arial" w:eastAsia="Arial" w:hAnsi="Arial" w:cs="Arial"/>
          <w:sz w:val="24"/>
          <w:szCs w:val="24"/>
        </w:rPr>
        <w:t>provid</w:t>
      </w:r>
      <w:r w:rsidR="00330353" w:rsidRPr="009F57A1">
        <w:rPr>
          <w:rFonts w:ascii="Arial" w:eastAsia="Arial" w:hAnsi="Arial" w:cs="Arial"/>
          <w:sz w:val="24"/>
          <w:szCs w:val="24"/>
        </w:rPr>
        <w:t xml:space="preserve">ed </w:t>
      </w:r>
      <w:r w:rsidR="00330353">
        <w:rPr>
          <w:rFonts w:ascii="Arial" w:eastAsia="Arial" w:hAnsi="Arial" w:cs="Arial"/>
          <w:sz w:val="24"/>
          <w:szCs w:val="24"/>
        </w:rPr>
        <w:t xml:space="preserve">for </w:t>
      </w:r>
      <w:r w:rsidR="00330353" w:rsidRPr="009F57A1">
        <w:rPr>
          <w:rFonts w:ascii="Arial" w:eastAsia="Arial" w:hAnsi="Arial" w:cs="Arial"/>
          <w:sz w:val="24"/>
          <w:szCs w:val="24"/>
        </w:rPr>
        <w:t>in</w:t>
      </w:r>
      <w:r w:rsidR="00330353" w:rsidRPr="00567E54">
        <w:rPr>
          <w:rFonts w:ascii="Arial" w:eastAsia="Arial" w:hAnsi="Arial" w:cs="Arial"/>
          <w:sz w:val="24"/>
          <w:szCs w:val="24"/>
        </w:rPr>
        <w:t xml:space="preserve"> </w:t>
      </w:r>
      <w:r w:rsidR="00567E54" w:rsidRPr="00567E54">
        <w:rPr>
          <w:rFonts w:ascii="Arial" w:eastAsia="Arial" w:hAnsi="Arial" w:cs="Arial"/>
          <w:sz w:val="24"/>
          <w:szCs w:val="24"/>
        </w:rPr>
        <w:t xml:space="preserve">Article 449 paragraph (2), paragraph (5) and paragraph (6), Article 509 and Article 540 paragraph (1) and paragraph (2) of Law 7/2017, the substance or </w:t>
      </w:r>
      <w:r w:rsidR="00330353">
        <w:rPr>
          <w:rFonts w:ascii="Arial" w:eastAsia="Arial" w:hAnsi="Arial" w:cs="Arial"/>
          <w:sz w:val="24"/>
          <w:szCs w:val="24"/>
        </w:rPr>
        <w:t xml:space="preserve">principal petition of </w:t>
      </w:r>
      <w:r w:rsidR="00330353" w:rsidRPr="00567E54">
        <w:rPr>
          <w:rFonts w:ascii="Arial" w:eastAsia="Arial" w:hAnsi="Arial" w:cs="Arial"/>
          <w:sz w:val="24"/>
          <w:szCs w:val="24"/>
        </w:rPr>
        <w:t xml:space="preserve">a quo </w:t>
      </w:r>
      <w:r w:rsidR="00567E54" w:rsidRPr="00567E54">
        <w:rPr>
          <w:rFonts w:ascii="Arial" w:eastAsia="Arial" w:hAnsi="Arial" w:cs="Arial"/>
          <w:sz w:val="24"/>
          <w:szCs w:val="24"/>
        </w:rPr>
        <w:t xml:space="preserve">articles </w:t>
      </w:r>
      <w:r w:rsidR="00330353" w:rsidRPr="00330353">
        <w:rPr>
          <w:rFonts w:ascii="Arial" w:eastAsia="Arial" w:hAnsi="Arial" w:cs="Arial"/>
          <w:sz w:val="24"/>
          <w:szCs w:val="24"/>
        </w:rPr>
        <w:t xml:space="preserve">has been previously decided </w:t>
      </w:r>
      <w:r w:rsidR="00567E54" w:rsidRPr="00567E54">
        <w:rPr>
          <w:rFonts w:ascii="Arial" w:eastAsia="Arial" w:hAnsi="Arial" w:cs="Arial"/>
          <w:sz w:val="24"/>
          <w:szCs w:val="24"/>
        </w:rPr>
        <w:t xml:space="preserve">by the Court on April 16, 2019 as </w:t>
      </w:r>
      <w:r w:rsidR="00330353">
        <w:rPr>
          <w:rFonts w:ascii="Arial" w:eastAsia="Arial" w:hAnsi="Arial" w:cs="Arial"/>
          <w:sz w:val="24"/>
          <w:szCs w:val="24"/>
        </w:rPr>
        <w:t>set forth</w:t>
      </w:r>
      <w:r w:rsidR="00567E54" w:rsidRPr="00567E54">
        <w:rPr>
          <w:rFonts w:ascii="Arial" w:eastAsia="Arial" w:hAnsi="Arial" w:cs="Arial"/>
          <w:sz w:val="24"/>
          <w:szCs w:val="24"/>
        </w:rPr>
        <w:t xml:space="preserve"> in Decision Number 24/PUU-XVII/2019, so a quo case decision refers to </w:t>
      </w:r>
      <w:r w:rsidR="00330353">
        <w:rPr>
          <w:rFonts w:ascii="Arial" w:eastAsia="Arial" w:hAnsi="Arial" w:cs="Arial"/>
          <w:sz w:val="24"/>
          <w:szCs w:val="24"/>
        </w:rPr>
        <w:t>such</w:t>
      </w:r>
      <w:r w:rsidR="00567E54" w:rsidRPr="00567E54">
        <w:rPr>
          <w:rFonts w:ascii="Arial" w:eastAsia="Arial" w:hAnsi="Arial" w:cs="Arial"/>
          <w:sz w:val="24"/>
          <w:szCs w:val="24"/>
        </w:rPr>
        <w:t xml:space="preserve"> decision relating to the </w:t>
      </w:r>
      <w:r w:rsidR="00330353">
        <w:rPr>
          <w:rFonts w:ascii="Arial" w:eastAsia="Arial" w:hAnsi="Arial" w:cs="Arial"/>
          <w:sz w:val="24"/>
          <w:szCs w:val="24"/>
        </w:rPr>
        <w:t>review</w:t>
      </w:r>
      <w:r w:rsidR="00567E54" w:rsidRPr="00567E54">
        <w:rPr>
          <w:rFonts w:ascii="Arial" w:eastAsia="Arial" w:hAnsi="Arial" w:cs="Arial"/>
          <w:sz w:val="24"/>
          <w:szCs w:val="24"/>
        </w:rPr>
        <w:t xml:space="preserve"> of norms of Article </w:t>
      </w:r>
      <w:r w:rsidR="00567E54" w:rsidRPr="00567E54">
        <w:rPr>
          <w:rFonts w:ascii="Arial" w:eastAsia="Arial" w:hAnsi="Arial" w:cs="Arial"/>
          <w:sz w:val="24"/>
          <w:szCs w:val="24"/>
        </w:rPr>
        <w:lastRenderedPageBreak/>
        <w:t>449 paragraph (2), paragraph (5 ), and paragraph (6), Article 509 and Article 540 paragraph (1) and paragraph (2) of Law 7/2017.</w:t>
      </w:r>
    </w:p>
    <w:p w:rsidR="000A458B" w:rsidRPr="002868D9" w:rsidRDefault="00902E88" w:rsidP="00724F6C">
      <w:pPr>
        <w:spacing w:after="240" w:line="480" w:lineRule="auto"/>
        <w:ind w:left="1440" w:hanging="720"/>
        <w:jc w:val="both"/>
        <w:rPr>
          <w:rFonts w:ascii="Arial" w:eastAsia="Arial" w:hAnsi="Arial" w:cs="Arial"/>
          <w:sz w:val="24"/>
          <w:szCs w:val="24"/>
        </w:rPr>
      </w:pPr>
      <w:r w:rsidRPr="002868D9">
        <w:rPr>
          <w:rFonts w:ascii="Arial" w:eastAsia="Arial" w:hAnsi="Arial" w:cs="Arial"/>
          <w:sz w:val="24"/>
          <w:szCs w:val="24"/>
        </w:rPr>
        <w:t xml:space="preserve">b. </w:t>
      </w:r>
      <w:r w:rsidR="002868D9">
        <w:rPr>
          <w:rFonts w:ascii="Arial" w:eastAsia="Arial" w:hAnsi="Arial" w:cs="Arial"/>
          <w:sz w:val="24"/>
          <w:szCs w:val="24"/>
        </w:rPr>
        <w:tab/>
      </w:r>
      <w:r w:rsidR="00794D39" w:rsidRPr="00794D39">
        <w:rPr>
          <w:rFonts w:ascii="Arial" w:eastAsia="Arial" w:hAnsi="Arial" w:cs="Arial"/>
          <w:sz w:val="24"/>
          <w:szCs w:val="24"/>
        </w:rPr>
        <w:t xml:space="preserve">Whereas in substance the issue of constitutionality of petition for </w:t>
      </w:r>
      <w:r w:rsidR="00794D39">
        <w:rPr>
          <w:rFonts w:ascii="Arial" w:eastAsia="Arial" w:hAnsi="Arial" w:cs="Arial"/>
          <w:sz w:val="24"/>
          <w:szCs w:val="24"/>
        </w:rPr>
        <w:t>review</w:t>
      </w:r>
      <w:r w:rsidR="00794D39" w:rsidRPr="00794D39">
        <w:rPr>
          <w:rFonts w:ascii="Arial" w:eastAsia="Arial" w:hAnsi="Arial" w:cs="Arial"/>
          <w:sz w:val="24"/>
          <w:szCs w:val="24"/>
        </w:rPr>
        <w:t xml:space="preserve"> </w:t>
      </w:r>
      <w:r w:rsidR="00794D39">
        <w:rPr>
          <w:rFonts w:ascii="Arial" w:eastAsia="Arial" w:hAnsi="Arial" w:cs="Arial"/>
          <w:sz w:val="24"/>
          <w:szCs w:val="24"/>
        </w:rPr>
        <w:t>fil</w:t>
      </w:r>
      <w:r w:rsidR="00794D39" w:rsidRPr="00794D39">
        <w:rPr>
          <w:rFonts w:ascii="Arial" w:eastAsia="Arial" w:hAnsi="Arial" w:cs="Arial"/>
          <w:sz w:val="24"/>
          <w:szCs w:val="24"/>
        </w:rPr>
        <w:t>ed by a quo</w:t>
      </w:r>
      <w:r w:rsidR="00794D39">
        <w:rPr>
          <w:rFonts w:ascii="Arial" w:eastAsia="Arial" w:hAnsi="Arial" w:cs="Arial"/>
          <w:sz w:val="24"/>
          <w:szCs w:val="24"/>
        </w:rPr>
        <w:t>’s</w:t>
      </w:r>
      <w:r w:rsidR="00794D39" w:rsidRPr="00794D39">
        <w:rPr>
          <w:rFonts w:ascii="Arial" w:eastAsia="Arial" w:hAnsi="Arial" w:cs="Arial"/>
          <w:sz w:val="24"/>
          <w:szCs w:val="24"/>
        </w:rPr>
        <w:t xml:space="preserve"> Petitioners is the same as the issue of constitutionality in case Number 24/PUU-XVII/2019 which is related to the prohibition of </w:t>
      </w:r>
      <w:r w:rsidR="00794D39" w:rsidRPr="00567E54">
        <w:rPr>
          <w:rFonts w:ascii="Arial" w:eastAsia="Arial" w:hAnsi="Arial" w:cs="Arial"/>
          <w:sz w:val="24"/>
          <w:szCs w:val="24"/>
        </w:rPr>
        <w:t>announcement</w:t>
      </w:r>
      <w:r w:rsidR="00794D39">
        <w:rPr>
          <w:rFonts w:ascii="Arial" w:eastAsia="Arial" w:hAnsi="Arial" w:cs="Arial"/>
          <w:sz w:val="24"/>
          <w:szCs w:val="24"/>
        </w:rPr>
        <w:t xml:space="preserve"> of</w:t>
      </w:r>
      <w:r w:rsidR="00794D39" w:rsidRPr="00794D39">
        <w:rPr>
          <w:rFonts w:ascii="Arial" w:eastAsia="Arial" w:hAnsi="Arial" w:cs="Arial"/>
          <w:sz w:val="24"/>
          <w:szCs w:val="24"/>
        </w:rPr>
        <w:t xml:space="preserve"> </w:t>
      </w:r>
      <w:r w:rsidR="00794D39">
        <w:rPr>
          <w:rFonts w:ascii="Arial" w:eastAsia="Arial" w:hAnsi="Arial" w:cs="Arial"/>
          <w:sz w:val="24"/>
          <w:szCs w:val="24"/>
        </w:rPr>
        <w:t xml:space="preserve">the </w:t>
      </w:r>
      <w:r w:rsidR="00794D39" w:rsidRPr="00794D39">
        <w:rPr>
          <w:rFonts w:ascii="Arial" w:eastAsia="Arial" w:hAnsi="Arial" w:cs="Arial"/>
          <w:sz w:val="24"/>
          <w:szCs w:val="24"/>
        </w:rPr>
        <w:t>results</w:t>
      </w:r>
      <w:r w:rsidR="00794D39">
        <w:rPr>
          <w:rFonts w:ascii="Arial" w:eastAsia="Arial" w:hAnsi="Arial" w:cs="Arial"/>
          <w:sz w:val="24"/>
          <w:szCs w:val="24"/>
        </w:rPr>
        <w:t xml:space="preserve"> of</w:t>
      </w:r>
      <w:r w:rsidR="00794D39" w:rsidRPr="00794D39">
        <w:rPr>
          <w:rFonts w:ascii="Arial" w:eastAsia="Arial" w:hAnsi="Arial" w:cs="Arial"/>
          <w:sz w:val="24"/>
          <w:szCs w:val="24"/>
        </w:rPr>
        <w:t xml:space="preserve"> survey</w:t>
      </w:r>
      <w:r w:rsidR="00794D39">
        <w:rPr>
          <w:rFonts w:ascii="Arial" w:eastAsia="Arial" w:hAnsi="Arial" w:cs="Arial"/>
          <w:sz w:val="24"/>
          <w:szCs w:val="24"/>
        </w:rPr>
        <w:t>s</w:t>
      </w:r>
      <w:r w:rsidR="00794D39" w:rsidRPr="00794D39">
        <w:rPr>
          <w:rFonts w:ascii="Arial" w:eastAsia="Arial" w:hAnsi="Arial" w:cs="Arial"/>
          <w:sz w:val="24"/>
          <w:szCs w:val="24"/>
        </w:rPr>
        <w:t xml:space="preserve"> or opinion polls o</w:t>
      </w:r>
      <w:r w:rsidR="00794D39">
        <w:rPr>
          <w:rFonts w:ascii="Arial" w:eastAsia="Arial" w:hAnsi="Arial" w:cs="Arial"/>
          <w:sz w:val="24"/>
          <w:szCs w:val="24"/>
        </w:rPr>
        <w:t>f the General</w:t>
      </w:r>
      <w:r w:rsidR="00794D39" w:rsidRPr="00794D39">
        <w:rPr>
          <w:rFonts w:ascii="Arial" w:eastAsia="Arial" w:hAnsi="Arial" w:cs="Arial"/>
          <w:sz w:val="24"/>
          <w:szCs w:val="24"/>
        </w:rPr>
        <w:t xml:space="preserve"> Election conducted during the </w:t>
      </w:r>
      <w:r w:rsidR="00794D39">
        <w:rPr>
          <w:rFonts w:ascii="Arial" w:eastAsia="Arial" w:hAnsi="Arial" w:cs="Arial"/>
          <w:sz w:val="24"/>
          <w:szCs w:val="24"/>
        </w:rPr>
        <w:t>Quiet</w:t>
      </w:r>
      <w:r w:rsidR="00794D39" w:rsidRPr="00794D39">
        <w:rPr>
          <w:rFonts w:ascii="Arial" w:eastAsia="Arial" w:hAnsi="Arial" w:cs="Arial"/>
          <w:sz w:val="24"/>
          <w:szCs w:val="24"/>
        </w:rPr>
        <w:t xml:space="preserve"> Period and Announcement of forecasts </w:t>
      </w:r>
      <w:r w:rsidR="00794D39">
        <w:rPr>
          <w:rFonts w:ascii="Arial" w:eastAsia="Arial" w:hAnsi="Arial" w:cs="Arial"/>
          <w:sz w:val="24"/>
          <w:szCs w:val="24"/>
        </w:rPr>
        <w:t>for the</w:t>
      </w:r>
      <w:r w:rsidR="00794D39" w:rsidRPr="00794D39">
        <w:rPr>
          <w:rFonts w:ascii="Arial" w:eastAsia="Arial" w:hAnsi="Arial" w:cs="Arial"/>
          <w:sz w:val="24"/>
          <w:szCs w:val="24"/>
        </w:rPr>
        <w:t xml:space="preserve"> results</w:t>
      </w:r>
      <w:r w:rsidR="00794D39">
        <w:rPr>
          <w:rFonts w:ascii="Arial" w:eastAsia="Arial" w:hAnsi="Arial" w:cs="Arial"/>
          <w:sz w:val="24"/>
          <w:szCs w:val="24"/>
        </w:rPr>
        <w:t xml:space="preserve"> of</w:t>
      </w:r>
      <w:r w:rsidR="00794D39" w:rsidRPr="00794D39">
        <w:rPr>
          <w:rFonts w:ascii="Arial" w:eastAsia="Arial" w:hAnsi="Arial" w:cs="Arial"/>
          <w:sz w:val="24"/>
          <w:szCs w:val="24"/>
        </w:rPr>
        <w:t xml:space="preserve"> </w:t>
      </w:r>
      <w:r w:rsidR="00794D39">
        <w:rPr>
          <w:rFonts w:ascii="Arial" w:eastAsia="Arial" w:hAnsi="Arial" w:cs="Arial"/>
          <w:sz w:val="24"/>
          <w:szCs w:val="24"/>
        </w:rPr>
        <w:t>the</w:t>
      </w:r>
      <w:r w:rsidR="00794D39" w:rsidRPr="00794D39">
        <w:rPr>
          <w:rFonts w:ascii="Arial" w:eastAsia="Arial" w:hAnsi="Arial" w:cs="Arial"/>
          <w:sz w:val="24"/>
          <w:szCs w:val="24"/>
        </w:rPr>
        <w:t xml:space="preserve"> quick count of the </w:t>
      </w:r>
      <w:r w:rsidR="00794D39">
        <w:rPr>
          <w:rFonts w:ascii="Arial" w:eastAsia="Arial" w:hAnsi="Arial" w:cs="Arial"/>
          <w:sz w:val="24"/>
          <w:szCs w:val="24"/>
        </w:rPr>
        <w:t>General E</w:t>
      </w:r>
      <w:r w:rsidR="00794D39" w:rsidRPr="00794D39">
        <w:rPr>
          <w:rFonts w:ascii="Arial" w:eastAsia="Arial" w:hAnsi="Arial" w:cs="Arial"/>
          <w:sz w:val="24"/>
          <w:szCs w:val="24"/>
        </w:rPr>
        <w:t xml:space="preserve">lection </w:t>
      </w:r>
      <w:r w:rsidR="00794D39">
        <w:rPr>
          <w:rFonts w:ascii="Arial" w:eastAsia="Arial" w:hAnsi="Arial" w:cs="Arial"/>
          <w:sz w:val="24"/>
          <w:szCs w:val="24"/>
        </w:rPr>
        <w:t>which may</w:t>
      </w:r>
      <w:r w:rsidR="00794D39" w:rsidRPr="00794D39">
        <w:rPr>
          <w:rFonts w:ascii="Arial" w:eastAsia="Arial" w:hAnsi="Arial" w:cs="Arial"/>
          <w:sz w:val="24"/>
          <w:szCs w:val="24"/>
        </w:rPr>
        <w:t xml:space="preserve"> only be </w:t>
      </w:r>
      <w:r w:rsidR="00794D39">
        <w:rPr>
          <w:rFonts w:ascii="Arial" w:eastAsia="Arial" w:hAnsi="Arial" w:cs="Arial"/>
          <w:sz w:val="24"/>
          <w:szCs w:val="24"/>
        </w:rPr>
        <w:t>conducted</w:t>
      </w:r>
      <w:r w:rsidR="00794D39" w:rsidRPr="00794D39">
        <w:rPr>
          <w:rFonts w:ascii="Arial" w:eastAsia="Arial" w:hAnsi="Arial" w:cs="Arial"/>
          <w:sz w:val="24"/>
          <w:szCs w:val="24"/>
        </w:rPr>
        <w:t xml:space="preserve"> </w:t>
      </w:r>
      <w:r w:rsidR="00794D39" w:rsidRPr="00567E54">
        <w:rPr>
          <w:rFonts w:ascii="Arial" w:eastAsia="Arial" w:hAnsi="Arial" w:cs="Arial"/>
          <w:sz w:val="24"/>
          <w:szCs w:val="24"/>
        </w:rPr>
        <w:t>no sooner than</w:t>
      </w:r>
      <w:r w:rsidR="00794D39" w:rsidRPr="00794D39">
        <w:rPr>
          <w:rFonts w:ascii="Arial" w:eastAsia="Arial" w:hAnsi="Arial" w:cs="Arial"/>
          <w:sz w:val="24"/>
          <w:szCs w:val="24"/>
        </w:rPr>
        <w:t xml:space="preserve"> 2 (two) hours after the completion of the vot</w:t>
      </w:r>
      <w:r w:rsidR="00794D39">
        <w:rPr>
          <w:rFonts w:ascii="Arial" w:eastAsia="Arial" w:hAnsi="Arial" w:cs="Arial"/>
          <w:sz w:val="24"/>
          <w:szCs w:val="24"/>
        </w:rPr>
        <w:t>ing</w:t>
      </w:r>
      <w:r w:rsidR="00794D39" w:rsidRPr="00794D39">
        <w:rPr>
          <w:rFonts w:ascii="Arial" w:eastAsia="Arial" w:hAnsi="Arial" w:cs="Arial"/>
          <w:sz w:val="24"/>
          <w:szCs w:val="24"/>
        </w:rPr>
        <w:t xml:space="preserve"> in the western Indonesia </w:t>
      </w:r>
      <w:r w:rsidR="00794D39">
        <w:rPr>
          <w:rFonts w:ascii="Arial" w:eastAsia="Arial" w:hAnsi="Arial" w:cs="Arial"/>
          <w:sz w:val="24"/>
          <w:szCs w:val="24"/>
        </w:rPr>
        <w:t xml:space="preserve">region </w:t>
      </w:r>
      <w:r w:rsidR="00794D39" w:rsidRPr="00794D39">
        <w:rPr>
          <w:rFonts w:ascii="Arial" w:eastAsia="Arial" w:hAnsi="Arial" w:cs="Arial"/>
          <w:sz w:val="24"/>
          <w:szCs w:val="24"/>
        </w:rPr>
        <w:t>which results in</w:t>
      </w:r>
      <w:r w:rsidR="00794D39">
        <w:rPr>
          <w:rFonts w:ascii="Arial" w:eastAsia="Arial" w:hAnsi="Arial" w:cs="Arial"/>
          <w:sz w:val="24"/>
          <w:szCs w:val="24"/>
        </w:rPr>
        <w:t xml:space="preserve"> the occurrence of</w:t>
      </w:r>
      <w:r w:rsidR="00794D39" w:rsidRPr="00794D39">
        <w:rPr>
          <w:rFonts w:ascii="Arial" w:eastAsia="Arial" w:hAnsi="Arial" w:cs="Arial"/>
          <w:sz w:val="24"/>
          <w:szCs w:val="24"/>
        </w:rPr>
        <w:t xml:space="preserve"> </w:t>
      </w:r>
      <w:r w:rsidR="00794D39">
        <w:rPr>
          <w:rFonts w:ascii="Arial" w:eastAsia="Arial" w:hAnsi="Arial" w:cs="Arial"/>
          <w:sz w:val="24"/>
          <w:szCs w:val="24"/>
        </w:rPr>
        <w:t>E</w:t>
      </w:r>
      <w:r w:rsidR="00794D39" w:rsidRPr="00794D39">
        <w:rPr>
          <w:rFonts w:ascii="Arial" w:eastAsia="Arial" w:hAnsi="Arial" w:cs="Arial"/>
          <w:sz w:val="24"/>
          <w:szCs w:val="24"/>
        </w:rPr>
        <w:t>lection crim</w:t>
      </w:r>
      <w:r w:rsidR="00794D39">
        <w:rPr>
          <w:rFonts w:ascii="Arial" w:eastAsia="Arial" w:hAnsi="Arial" w:cs="Arial"/>
          <w:sz w:val="24"/>
          <w:szCs w:val="24"/>
        </w:rPr>
        <w:t xml:space="preserve">inal offenses </w:t>
      </w:r>
      <w:r w:rsidR="00794D39" w:rsidRPr="00794D39">
        <w:rPr>
          <w:rFonts w:ascii="Arial" w:eastAsia="Arial" w:hAnsi="Arial" w:cs="Arial"/>
          <w:sz w:val="24"/>
          <w:szCs w:val="24"/>
        </w:rPr>
        <w:t xml:space="preserve">as </w:t>
      </w:r>
      <w:r w:rsidR="00794D39">
        <w:rPr>
          <w:rFonts w:ascii="Arial" w:eastAsia="Arial" w:hAnsi="Arial" w:cs="Arial"/>
          <w:sz w:val="24"/>
          <w:szCs w:val="24"/>
        </w:rPr>
        <w:t xml:space="preserve">provided for </w:t>
      </w:r>
      <w:r w:rsidR="00794D39" w:rsidRPr="00794D39">
        <w:rPr>
          <w:rFonts w:ascii="Arial" w:eastAsia="Arial" w:hAnsi="Arial" w:cs="Arial"/>
          <w:sz w:val="24"/>
          <w:szCs w:val="24"/>
        </w:rPr>
        <w:t xml:space="preserve">in Article 449 paragraph (2), paragraph (5) and paragraph (6), Article 509 and Article 540 paragraph (1) and paragraph (2) of Law 7/2017. </w:t>
      </w:r>
      <w:r w:rsidR="0080602F">
        <w:rPr>
          <w:rFonts w:ascii="Arial" w:eastAsia="Arial" w:hAnsi="Arial" w:cs="Arial"/>
          <w:sz w:val="24"/>
          <w:szCs w:val="24"/>
        </w:rPr>
        <w:t>So t</w:t>
      </w:r>
      <w:r w:rsidR="00794D39" w:rsidRPr="00794D39">
        <w:rPr>
          <w:rFonts w:ascii="Arial" w:eastAsia="Arial" w:hAnsi="Arial" w:cs="Arial"/>
          <w:sz w:val="24"/>
          <w:szCs w:val="24"/>
        </w:rPr>
        <w:t>herefore, the Court's legal considerations in assessing the constitutionality of Article 449 paragraph (2), paragraph (5) and paragraph (6), Article 509 and Article 540 paragraph (1) and paragraph (2) of Law 7/2017 will also apply mutatis mutandis as legal considerations of a quo petition.</w:t>
      </w:r>
    </w:p>
    <w:p w:rsidR="000A458B" w:rsidRPr="002868D9" w:rsidRDefault="00902E88" w:rsidP="00724F6C">
      <w:pPr>
        <w:spacing w:after="240" w:line="480" w:lineRule="auto"/>
        <w:ind w:left="1440" w:hanging="720"/>
        <w:jc w:val="both"/>
        <w:rPr>
          <w:rFonts w:ascii="Arial" w:eastAsia="Arial" w:hAnsi="Arial" w:cs="Arial"/>
          <w:sz w:val="24"/>
          <w:szCs w:val="24"/>
        </w:rPr>
      </w:pPr>
      <w:r w:rsidRPr="002868D9">
        <w:rPr>
          <w:rFonts w:ascii="Arial" w:eastAsia="Arial" w:hAnsi="Arial" w:cs="Arial"/>
          <w:sz w:val="24"/>
          <w:szCs w:val="24"/>
        </w:rPr>
        <w:t xml:space="preserve">c. </w:t>
      </w:r>
      <w:r w:rsidR="002868D9">
        <w:rPr>
          <w:rFonts w:ascii="Arial" w:eastAsia="Arial" w:hAnsi="Arial" w:cs="Arial"/>
          <w:sz w:val="24"/>
          <w:szCs w:val="24"/>
        </w:rPr>
        <w:tab/>
      </w:r>
      <w:r w:rsidR="0080602F">
        <w:rPr>
          <w:rFonts w:ascii="Arial" w:eastAsia="Arial" w:hAnsi="Arial" w:cs="Arial"/>
          <w:sz w:val="24"/>
          <w:szCs w:val="24"/>
        </w:rPr>
        <w:t>Whereas</w:t>
      </w:r>
      <w:r w:rsidR="0080602F" w:rsidRPr="0080602F">
        <w:rPr>
          <w:rFonts w:ascii="Arial" w:eastAsia="Arial" w:hAnsi="Arial" w:cs="Arial"/>
          <w:sz w:val="24"/>
          <w:szCs w:val="24"/>
        </w:rPr>
        <w:t xml:space="preserve"> related to the norms of Article 197 paragraph (2) of Law 1/2015, the Petitioners have submitted a letter to the Court which was received by the Registrar's Office on April 12, 2019 regarding the </w:t>
      </w:r>
      <w:r w:rsidR="0080602F">
        <w:rPr>
          <w:rFonts w:ascii="Arial" w:eastAsia="Arial" w:hAnsi="Arial" w:cs="Arial"/>
          <w:sz w:val="24"/>
          <w:szCs w:val="24"/>
        </w:rPr>
        <w:t>petition</w:t>
      </w:r>
      <w:r w:rsidR="0080602F" w:rsidRPr="0080602F">
        <w:rPr>
          <w:rFonts w:ascii="Arial" w:eastAsia="Arial" w:hAnsi="Arial" w:cs="Arial"/>
          <w:sz w:val="24"/>
          <w:szCs w:val="24"/>
        </w:rPr>
        <w:t xml:space="preserve"> for revocation of Article 197 paragraph (2) of Law 1/2015 as one of the object of the case petition Number 25/PUU-XVII/2019. Therefore, the Court will not further consider the norms of a quo article and </w:t>
      </w:r>
      <w:r w:rsidR="0080602F">
        <w:rPr>
          <w:rFonts w:ascii="Arial" w:eastAsia="Arial" w:hAnsi="Arial" w:cs="Arial"/>
          <w:sz w:val="24"/>
          <w:szCs w:val="24"/>
        </w:rPr>
        <w:t>declare</w:t>
      </w:r>
      <w:r w:rsidR="0080602F" w:rsidRPr="0080602F">
        <w:rPr>
          <w:rFonts w:ascii="Arial" w:eastAsia="Arial" w:hAnsi="Arial" w:cs="Arial"/>
          <w:sz w:val="24"/>
          <w:szCs w:val="24"/>
        </w:rPr>
        <w:t xml:space="preserve"> that </w:t>
      </w:r>
      <w:r w:rsidR="0080602F" w:rsidRPr="0080602F">
        <w:rPr>
          <w:rFonts w:ascii="Arial" w:eastAsia="Arial" w:hAnsi="Arial" w:cs="Arial"/>
          <w:sz w:val="24"/>
          <w:szCs w:val="24"/>
        </w:rPr>
        <w:lastRenderedPageBreak/>
        <w:t>the norms of Article 197 paragraph (2) of Law 1/2015 no longer form part of petition number 25/PUU-XVII/2019.</w:t>
      </w:r>
    </w:p>
    <w:p w:rsidR="000A458B" w:rsidRPr="002868D9" w:rsidRDefault="00902E88" w:rsidP="00724F6C">
      <w:pPr>
        <w:spacing w:after="240" w:line="480" w:lineRule="auto"/>
        <w:ind w:left="1440" w:hanging="720"/>
        <w:jc w:val="both"/>
        <w:rPr>
          <w:rFonts w:ascii="Arial" w:eastAsia="Arial" w:hAnsi="Arial" w:cs="Arial"/>
          <w:sz w:val="24"/>
          <w:szCs w:val="24"/>
        </w:rPr>
      </w:pPr>
      <w:r w:rsidRPr="002868D9">
        <w:rPr>
          <w:rFonts w:ascii="Arial" w:eastAsia="Arial" w:hAnsi="Arial" w:cs="Arial"/>
          <w:sz w:val="24"/>
          <w:szCs w:val="24"/>
        </w:rPr>
        <w:t xml:space="preserve">d. </w:t>
      </w:r>
      <w:r w:rsidR="002868D9">
        <w:rPr>
          <w:rFonts w:ascii="Arial" w:eastAsia="Arial" w:hAnsi="Arial" w:cs="Arial"/>
          <w:sz w:val="24"/>
          <w:szCs w:val="24"/>
        </w:rPr>
        <w:tab/>
      </w:r>
      <w:r w:rsidR="0080602F" w:rsidRPr="0080602F">
        <w:rPr>
          <w:rFonts w:ascii="Arial" w:eastAsia="Arial" w:hAnsi="Arial" w:cs="Arial"/>
          <w:sz w:val="24"/>
          <w:szCs w:val="24"/>
        </w:rPr>
        <w:t>Whereas with regard to the Petitioners' arguments in addition to and the rest of them are not considered by the Court because both the arguments and the basis of testing used by the Petitioners are irrelevant.</w:t>
      </w:r>
    </w:p>
    <w:p w:rsidR="000A458B" w:rsidRPr="002868D9" w:rsidRDefault="0080602F" w:rsidP="00724F6C">
      <w:pPr>
        <w:spacing w:after="240" w:line="480" w:lineRule="auto"/>
        <w:ind w:firstLine="720"/>
        <w:jc w:val="both"/>
        <w:rPr>
          <w:rFonts w:ascii="Arial" w:eastAsia="Arial" w:hAnsi="Arial" w:cs="Arial"/>
          <w:sz w:val="24"/>
          <w:szCs w:val="24"/>
        </w:rPr>
      </w:pPr>
      <w:r>
        <w:rPr>
          <w:rFonts w:ascii="Arial" w:eastAsia="Arial" w:hAnsi="Arial" w:cs="Arial"/>
          <w:sz w:val="24"/>
          <w:szCs w:val="24"/>
        </w:rPr>
        <w:t>Whereas</w:t>
      </w:r>
      <w:r w:rsidRPr="0080602F">
        <w:rPr>
          <w:rFonts w:ascii="Arial" w:eastAsia="Arial" w:hAnsi="Arial" w:cs="Arial"/>
          <w:sz w:val="24"/>
          <w:szCs w:val="24"/>
        </w:rPr>
        <w:t xml:space="preserve"> based on all the legal considerations above, the </w:t>
      </w:r>
      <w:r>
        <w:rPr>
          <w:rFonts w:ascii="Arial" w:eastAsia="Arial" w:hAnsi="Arial" w:cs="Arial"/>
          <w:sz w:val="24"/>
          <w:szCs w:val="24"/>
        </w:rPr>
        <w:t>argument</w:t>
      </w:r>
      <w:r w:rsidRPr="0080602F">
        <w:rPr>
          <w:rFonts w:ascii="Arial" w:eastAsia="Arial" w:hAnsi="Arial" w:cs="Arial"/>
          <w:sz w:val="24"/>
          <w:szCs w:val="24"/>
        </w:rPr>
        <w:t xml:space="preserve"> of the Petitioners' petition has no legal grounds</w:t>
      </w:r>
      <w:r>
        <w:rPr>
          <w:rFonts w:ascii="Arial" w:eastAsia="Arial" w:hAnsi="Arial" w:cs="Arial"/>
          <w:sz w:val="24"/>
          <w:szCs w:val="24"/>
        </w:rPr>
        <w:t xml:space="preserve"> </w:t>
      </w:r>
      <w:r w:rsidRPr="0080602F">
        <w:rPr>
          <w:rFonts w:ascii="Arial" w:eastAsia="Arial" w:hAnsi="Arial" w:cs="Arial"/>
          <w:sz w:val="24"/>
          <w:szCs w:val="24"/>
        </w:rPr>
        <w:t xml:space="preserve">in </w:t>
      </w:r>
      <w:r>
        <w:rPr>
          <w:rFonts w:ascii="Arial" w:eastAsia="Arial" w:hAnsi="Arial" w:cs="Arial"/>
          <w:sz w:val="24"/>
          <w:szCs w:val="24"/>
        </w:rPr>
        <w:t>their</w:t>
      </w:r>
      <w:r w:rsidRPr="0080602F">
        <w:rPr>
          <w:rFonts w:ascii="Arial" w:eastAsia="Arial" w:hAnsi="Arial" w:cs="Arial"/>
          <w:sz w:val="24"/>
          <w:szCs w:val="24"/>
        </w:rPr>
        <w:t xml:space="preserve"> entirety. Furthermore, the Court </w:t>
      </w:r>
      <w:r w:rsidR="008967E1" w:rsidRPr="008967E1">
        <w:rPr>
          <w:rFonts w:ascii="Arial" w:eastAsia="Arial" w:hAnsi="Arial" w:cs="Arial"/>
          <w:sz w:val="24"/>
          <w:szCs w:val="24"/>
        </w:rPr>
        <w:t xml:space="preserve">handed down the following </w:t>
      </w:r>
      <w:r w:rsidR="008967E1">
        <w:rPr>
          <w:rFonts w:ascii="Arial" w:eastAsia="Arial" w:hAnsi="Arial" w:cs="Arial"/>
          <w:sz w:val="24"/>
          <w:szCs w:val="24"/>
        </w:rPr>
        <w:t>decisions</w:t>
      </w:r>
      <w:r w:rsidRPr="0080602F">
        <w:rPr>
          <w:rFonts w:ascii="Arial" w:eastAsia="Arial" w:hAnsi="Arial" w:cs="Arial"/>
          <w:sz w:val="24"/>
          <w:szCs w:val="24"/>
        </w:rPr>
        <w:t>:</w:t>
      </w:r>
    </w:p>
    <w:p w:rsidR="000A458B" w:rsidRPr="002868D9" w:rsidRDefault="008967E1" w:rsidP="00724F6C">
      <w:pPr>
        <w:spacing w:after="240" w:line="480" w:lineRule="auto"/>
        <w:ind w:left="720"/>
        <w:jc w:val="both"/>
        <w:rPr>
          <w:rFonts w:ascii="Arial" w:eastAsia="Arial" w:hAnsi="Arial" w:cs="Arial"/>
          <w:sz w:val="24"/>
          <w:szCs w:val="24"/>
        </w:rPr>
      </w:pPr>
      <w:r w:rsidRPr="008967E1">
        <w:rPr>
          <w:rFonts w:ascii="Arial" w:eastAsia="Arial" w:hAnsi="Arial" w:cs="Arial"/>
          <w:sz w:val="24"/>
          <w:szCs w:val="24"/>
        </w:rPr>
        <w:t xml:space="preserve">In </w:t>
      </w:r>
      <w:r>
        <w:rPr>
          <w:rFonts w:ascii="Arial" w:eastAsia="Arial" w:hAnsi="Arial" w:cs="Arial"/>
          <w:sz w:val="24"/>
          <w:szCs w:val="24"/>
        </w:rPr>
        <w:t xml:space="preserve">the </w:t>
      </w:r>
      <w:r w:rsidRPr="008967E1">
        <w:rPr>
          <w:rFonts w:ascii="Arial" w:eastAsia="Arial" w:hAnsi="Arial" w:cs="Arial"/>
          <w:sz w:val="24"/>
          <w:szCs w:val="24"/>
        </w:rPr>
        <w:t>Provision</w:t>
      </w:r>
    </w:p>
    <w:p w:rsidR="000A458B" w:rsidRPr="002868D9" w:rsidRDefault="008967E1" w:rsidP="00724F6C">
      <w:pPr>
        <w:spacing w:after="240" w:line="480" w:lineRule="auto"/>
        <w:ind w:left="720"/>
        <w:jc w:val="both"/>
        <w:rPr>
          <w:rFonts w:ascii="Arial" w:eastAsia="Arial" w:hAnsi="Arial" w:cs="Arial"/>
          <w:sz w:val="24"/>
          <w:szCs w:val="24"/>
        </w:rPr>
      </w:pPr>
      <w:r w:rsidRPr="008967E1">
        <w:rPr>
          <w:rFonts w:ascii="Arial" w:eastAsia="Arial" w:hAnsi="Arial" w:cs="Arial"/>
          <w:sz w:val="24"/>
          <w:szCs w:val="24"/>
        </w:rPr>
        <w:t>Rejecting the petition</w:t>
      </w:r>
      <w:r>
        <w:rPr>
          <w:rFonts w:ascii="Arial" w:eastAsia="Arial" w:hAnsi="Arial" w:cs="Arial"/>
          <w:sz w:val="24"/>
          <w:szCs w:val="24"/>
        </w:rPr>
        <w:t xml:space="preserve"> for</w:t>
      </w:r>
      <w:r w:rsidRPr="008967E1">
        <w:rPr>
          <w:rFonts w:ascii="Arial" w:eastAsia="Arial" w:hAnsi="Arial" w:cs="Arial"/>
          <w:sz w:val="24"/>
          <w:szCs w:val="24"/>
        </w:rPr>
        <w:t xml:space="preserve"> provision</w:t>
      </w:r>
      <w:r>
        <w:rPr>
          <w:rFonts w:ascii="Arial" w:eastAsia="Arial" w:hAnsi="Arial" w:cs="Arial"/>
          <w:sz w:val="24"/>
          <w:szCs w:val="24"/>
        </w:rPr>
        <w:t xml:space="preserve"> of Petitioner I </w:t>
      </w:r>
      <w:r w:rsidRPr="008967E1">
        <w:rPr>
          <w:rFonts w:ascii="Arial" w:eastAsia="Arial" w:hAnsi="Arial" w:cs="Arial"/>
          <w:sz w:val="24"/>
          <w:szCs w:val="24"/>
        </w:rPr>
        <w:t>through Petitioner VI;</w:t>
      </w:r>
    </w:p>
    <w:p w:rsidR="000A458B" w:rsidRPr="002868D9" w:rsidRDefault="008967E1" w:rsidP="00724F6C">
      <w:pPr>
        <w:spacing w:after="240" w:line="480" w:lineRule="auto"/>
        <w:ind w:left="720"/>
        <w:jc w:val="both"/>
        <w:rPr>
          <w:rFonts w:ascii="Arial" w:eastAsia="Arial" w:hAnsi="Arial" w:cs="Arial"/>
          <w:sz w:val="24"/>
          <w:szCs w:val="24"/>
        </w:rPr>
      </w:pPr>
      <w:r w:rsidRPr="008967E1">
        <w:rPr>
          <w:rFonts w:ascii="Arial" w:eastAsia="Arial" w:hAnsi="Arial" w:cs="Arial"/>
          <w:sz w:val="24"/>
          <w:szCs w:val="24"/>
        </w:rPr>
        <w:t xml:space="preserve">In </w:t>
      </w:r>
      <w:r>
        <w:rPr>
          <w:rFonts w:ascii="Arial" w:eastAsia="Arial" w:hAnsi="Arial" w:cs="Arial"/>
          <w:sz w:val="24"/>
          <w:szCs w:val="24"/>
        </w:rPr>
        <w:t xml:space="preserve">the </w:t>
      </w:r>
      <w:r w:rsidRPr="008967E1">
        <w:rPr>
          <w:rFonts w:ascii="Arial" w:eastAsia="Arial" w:hAnsi="Arial" w:cs="Arial"/>
          <w:sz w:val="24"/>
          <w:szCs w:val="24"/>
        </w:rPr>
        <w:t xml:space="preserve">Principal </w:t>
      </w:r>
      <w:r>
        <w:rPr>
          <w:rFonts w:ascii="Arial" w:eastAsia="Arial" w:hAnsi="Arial" w:cs="Arial"/>
          <w:sz w:val="24"/>
          <w:szCs w:val="24"/>
        </w:rPr>
        <w:t>Peti</w:t>
      </w:r>
      <w:r w:rsidRPr="008967E1">
        <w:rPr>
          <w:rFonts w:ascii="Arial" w:eastAsia="Arial" w:hAnsi="Arial" w:cs="Arial"/>
          <w:sz w:val="24"/>
          <w:szCs w:val="24"/>
        </w:rPr>
        <w:t>tion</w:t>
      </w:r>
    </w:p>
    <w:p w:rsidR="000A458B" w:rsidRPr="002868D9" w:rsidRDefault="00902E88" w:rsidP="00724F6C">
      <w:pPr>
        <w:spacing w:after="240" w:line="480" w:lineRule="auto"/>
        <w:ind w:left="1080" w:hanging="360"/>
        <w:jc w:val="both"/>
        <w:rPr>
          <w:rFonts w:ascii="Arial" w:eastAsia="Arial" w:hAnsi="Arial" w:cs="Arial"/>
          <w:sz w:val="24"/>
          <w:szCs w:val="24"/>
        </w:rPr>
      </w:pPr>
      <w:r w:rsidRPr="002868D9">
        <w:rPr>
          <w:rFonts w:ascii="Arial" w:eastAsia="Arial" w:hAnsi="Arial" w:cs="Arial"/>
          <w:sz w:val="24"/>
          <w:szCs w:val="24"/>
        </w:rPr>
        <w:t>3.</w:t>
      </w:r>
      <w:r w:rsidR="002868D9">
        <w:rPr>
          <w:rFonts w:ascii="Arial" w:eastAsia="Arial" w:hAnsi="Arial" w:cs="Arial"/>
          <w:sz w:val="24"/>
          <w:szCs w:val="24"/>
        </w:rPr>
        <w:tab/>
      </w:r>
      <w:r w:rsidR="008967E1">
        <w:rPr>
          <w:rFonts w:ascii="Arial" w:eastAsia="Arial" w:hAnsi="Arial" w:cs="Arial"/>
          <w:sz w:val="24"/>
          <w:szCs w:val="24"/>
        </w:rPr>
        <w:t>Declar</w:t>
      </w:r>
      <w:r w:rsidR="008967E1" w:rsidRPr="008967E1">
        <w:rPr>
          <w:rFonts w:ascii="Arial" w:eastAsia="Arial" w:hAnsi="Arial" w:cs="Arial"/>
          <w:sz w:val="24"/>
          <w:szCs w:val="24"/>
        </w:rPr>
        <w:t>ing</w:t>
      </w:r>
      <w:r w:rsidR="008967E1">
        <w:rPr>
          <w:rFonts w:ascii="Arial" w:eastAsia="Arial" w:hAnsi="Arial" w:cs="Arial"/>
          <w:sz w:val="24"/>
          <w:szCs w:val="24"/>
        </w:rPr>
        <w:t xml:space="preserve"> the</w:t>
      </w:r>
      <w:r w:rsidR="008967E1" w:rsidRPr="008967E1">
        <w:rPr>
          <w:rFonts w:ascii="Arial" w:eastAsia="Arial" w:hAnsi="Arial" w:cs="Arial"/>
          <w:sz w:val="24"/>
          <w:szCs w:val="24"/>
        </w:rPr>
        <w:t xml:space="preserve"> Petitioner VII's </w:t>
      </w:r>
      <w:r w:rsidR="008967E1">
        <w:rPr>
          <w:rFonts w:ascii="Arial" w:eastAsia="Arial" w:hAnsi="Arial" w:cs="Arial"/>
          <w:sz w:val="24"/>
          <w:szCs w:val="24"/>
        </w:rPr>
        <w:t>peti</w:t>
      </w:r>
      <w:r w:rsidR="008967E1" w:rsidRPr="008967E1">
        <w:rPr>
          <w:rFonts w:ascii="Arial" w:eastAsia="Arial" w:hAnsi="Arial" w:cs="Arial"/>
          <w:sz w:val="24"/>
          <w:szCs w:val="24"/>
        </w:rPr>
        <w:t>tion is unacceptable;</w:t>
      </w:r>
    </w:p>
    <w:p w:rsidR="000A458B" w:rsidRDefault="00902E88" w:rsidP="00724F6C">
      <w:pPr>
        <w:spacing w:after="240" w:line="480" w:lineRule="auto"/>
        <w:ind w:left="1080" w:hanging="360"/>
        <w:jc w:val="both"/>
        <w:rPr>
          <w:rFonts w:ascii="Arial" w:eastAsia="Arial" w:hAnsi="Arial" w:cs="Arial"/>
          <w:sz w:val="24"/>
          <w:szCs w:val="24"/>
        </w:rPr>
      </w:pPr>
      <w:r w:rsidRPr="002868D9">
        <w:rPr>
          <w:rFonts w:ascii="Arial" w:eastAsia="Arial" w:hAnsi="Arial" w:cs="Arial"/>
          <w:sz w:val="24"/>
          <w:szCs w:val="24"/>
        </w:rPr>
        <w:t xml:space="preserve">4. </w:t>
      </w:r>
      <w:r w:rsidR="002868D9">
        <w:rPr>
          <w:rFonts w:ascii="Arial" w:eastAsia="Arial" w:hAnsi="Arial" w:cs="Arial"/>
          <w:sz w:val="24"/>
          <w:szCs w:val="24"/>
        </w:rPr>
        <w:tab/>
      </w:r>
      <w:r w:rsidR="008967E1" w:rsidRPr="008967E1">
        <w:rPr>
          <w:rFonts w:ascii="Arial" w:eastAsia="Arial" w:hAnsi="Arial" w:cs="Arial"/>
          <w:sz w:val="24"/>
          <w:szCs w:val="24"/>
        </w:rPr>
        <w:t>Rejecting the petition</w:t>
      </w:r>
      <w:r w:rsidR="008967E1">
        <w:rPr>
          <w:rFonts w:ascii="Arial" w:eastAsia="Arial" w:hAnsi="Arial" w:cs="Arial"/>
          <w:sz w:val="24"/>
          <w:szCs w:val="24"/>
        </w:rPr>
        <w:t xml:space="preserve"> of</w:t>
      </w:r>
      <w:r w:rsidR="008967E1" w:rsidRPr="008967E1">
        <w:rPr>
          <w:rFonts w:ascii="Arial" w:eastAsia="Arial" w:hAnsi="Arial" w:cs="Arial"/>
          <w:sz w:val="24"/>
          <w:szCs w:val="24"/>
        </w:rPr>
        <w:t xml:space="preserve"> Petitioner I through</w:t>
      </w:r>
      <w:r w:rsidR="008967E1">
        <w:rPr>
          <w:rFonts w:ascii="Arial" w:eastAsia="Arial" w:hAnsi="Arial" w:cs="Arial"/>
          <w:sz w:val="24"/>
          <w:szCs w:val="24"/>
        </w:rPr>
        <w:t xml:space="preserve"> </w:t>
      </w:r>
      <w:r w:rsidR="008967E1" w:rsidRPr="008967E1">
        <w:rPr>
          <w:rFonts w:ascii="Arial" w:eastAsia="Arial" w:hAnsi="Arial" w:cs="Arial"/>
          <w:sz w:val="24"/>
          <w:szCs w:val="24"/>
        </w:rPr>
        <w:t>Petitioner VI</w:t>
      </w:r>
      <w:r w:rsidR="008967E1">
        <w:rPr>
          <w:rFonts w:ascii="Arial" w:eastAsia="Arial" w:hAnsi="Arial" w:cs="Arial"/>
          <w:sz w:val="24"/>
          <w:szCs w:val="24"/>
        </w:rPr>
        <w:t xml:space="preserve"> </w:t>
      </w:r>
      <w:r w:rsidR="008967E1" w:rsidRPr="0080602F">
        <w:rPr>
          <w:rFonts w:ascii="Arial" w:eastAsia="Arial" w:hAnsi="Arial" w:cs="Arial"/>
          <w:sz w:val="24"/>
          <w:szCs w:val="24"/>
        </w:rPr>
        <w:t xml:space="preserve">in </w:t>
      </w:r>
      <w:r w:rsidR="008967E1">
        <w:rPr>
          <w:rFonts w:ascii="Arial" w:eastAsia="Arial" w:hAnsi="Arial" w:cs="Arial"/>
          <w:sz w:val="24"/>
          <w:szCs w:val="24"/>
        </w:rPr>
        <w:t>their</w:t>
      </w:r>
      <w:r w:rsidR="008967E1" w:rsidRPr="0080602F">
        <w:rPr>
          <w:rFonts w:ascii="Arial" w:eastAsia="Arial" w:hAnsi="Arial" w:cs="Arial"/>
          <w:sz w:val="24"/>
          <w:szCs w:val="24"/>
        </w:rPr>
        <w:t xml:space="preserve"> entirety</w:t>
      </w:r>
      <w:r w:rsidRPr="002868D9">
        <w:rPr>
          <w:rFonts w:ascii="Arial" w:eastAsia="Arial" w:hAnsi="Arial" w:cs="Arial"/>
          <w:sz w:val="24"/>
          <w:szCs w:val="24"/>
        </w:rPr>
        <w:t>.</w:t>
      </w:r>
    </w:p>
    <w:p w:rsidR="00595EA5" w:rsidRDefault="00595EA5" w:rsidP="00595EA5">
      <w:pPr>
        <w:spacing w:line="480" w:lineRule="auto"/>
        <w:jc w:val="both"/>
        <w:rPr>
          <w:rFonts w:ascii="Arial" w:hAnsi="Arial" w:cs="Arial"/>
          <w:sz w:val="24"/>
          <w:szCs w:val="24"/>
        </w:rPr>
      </w:pPr>
    </w:p>
    <w:p w:rsidR="00595EA5" w:rsidRDefault="00595EA5" w:rsidP="00595EA5">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595EA5" w:rsidRDefault="00595EA5" w:rsidP="00595EA5">
      <w:pPr>
        <w:ind w:right="29"/>
        <w:jc w:val="right"/>
        <w:rPr>
          <w:rFonts w:ascii="Arial" w:hAnsi="Arial" w:cs="Arial"/>
        </w:rPr>
      </w:pPr>
      <w:r>
        <w:rPr>
          <w:rFonts w:ascii="Arial" w:hAnsi="Arial" w:cs="Arial"/>
        </w:rPr>
        <w:t>the Authorized and Sworn Translator in Jakarta - Indonesia</w:t>
      </w:r>
    </w:p>
    <w:p w:rsidR="00595EA5" w:rsidRDefault="00595EA5" w:rsidP="00595EA5">
      <w:pPr>
        <w:jc w:val="right"/>
        <w:rPr>
          <w:rFonts w:ascii="Arial" w:hAnsi="Arial" w:cs="Arial"/>
        </w:rPr>
      </w:pPr>
    </w:p>
    <w:p w:rsidR="00595EA5" w:rsidRPr="002868D9" w:rsidRDefault="00595EA5" w:rsidP="00595EA5">
      <w:pPr>
        <w:spacing w:after="240" w:line="480" w:lineRule="auto"/>
        <w:jc w:val="right"/>
        <w:rPr>
          <w:rFonts w:ascii="Arial" w:eastAsia="Arial" w:hAnsi="Arial" w:cs="Arial"/>
          <w:sz w:val="24"/>
          <w:szCs w:val="24"/>
        </w:rPr>
      </w:pPr>
      <w:r>
        <w:rPr>
          <w:rFonts w:ascii="Arial" w:hAnsi="Arial" w:cs="Arial"/>
        </w:rPr>
        <w:t>JAKARTA, June 24, 2020</w:t>
      </w:r>
      <w:bookmarkStart w:id="0" w:name="_GoBack"/>
      <w:bookmarkEnd w:id="0"/>
    </w:p>
    <w:sectPr w:rsidR="00595EA5" w:rsidRPr="002868D9" w:rsidSect="002868D9">
      <w:headerReference w:type="default" r:id="rId8"/>
      <w:footerReference w:type="default" r:id="rId9"/>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D4" w:rsidRDefault="001114D4">
      <w:r>
        <w:separator/>
      </w:r>
    </w:p>
  </w:endnote>
  <w:endnote w:type="continuationSeparator" w:id="0">
    <w:p w:rsidR="001114D4" w:rsidRDefault="0011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888492"/>
      <w:docPartObj>
        <w:docPartGallery w:val="Page Numbers (Bottom of Page)"/>
        <w:docPartUnique/>
      </w:docPartObj>
    </w:sdtPr>
    <w:sdtEndPr>
      <w:rPr>
        <w:rFonts w:ascii="Arial" w:hAnsi="Arial" w:cs="Arial"/>
        <w:noProof/>
      </w:rPr>
    </w:sdtEndPr>
    <w:sdtContent>
      <w:p w:rsidR="002868D9" w:rsidRPr="002746F7" w:rsidRDefault="002868D9">
        <w:pPr>
          <w:pStyle w:val="Footer"/>
          <w:jc w:val="center"/>
          <w:rPr>
            <w:rFonts w:ascii="Arial" w:hAnsi="Arial" w:cs="Arial"/>
          </w:rPr>
        </w:pPr>
        <w:r w:rsidRPr="002746F7">
          <w:rPr>
            <w:rFonts w:ascii="Arial" w:hAnsi="Arial" w:cs="Arial"/>
          </w:rPr>
          <w:fldChar w:fldCharType="begin"/>
        </w:r>
        <w:r w:rsidRPr="002746F7">
          <w:rPr>
            <w:rFonts w:ascii="Arial" w:hAnsi="Arial" w:cs="Arial"/>
          </w:rPr>
          <w:instrText xml:space="preserve"> PAGE   \* MERGEFORMAT </w:instrText>
        </w:r>
        <w:r w:rsidRPr="002746F7">
          <w:rPr>
            <w:rFonts w:ascii="Arial" w:hAnsi="Arial" w:cs="Arial"/>
          </w:rPr>
          <w:fldChar w:fldCharType="separate"/>
        </w:r>
        <w:r w:rsidR="00595EA5">
          <w:rPr>
            <w:rFonts w:ascii="Arial" w:hAnsi="Arial" w:cs="Arial"/>
            <w:noProof/>
          </w:rPr>
          <w:t>- 6 -</w:t>
        </w:r>
        <w:r w:rsidRPr="002746F7">
          <w:rPr>
            <w:rFonts w:ascii="Arial" w:hAnsi="Arial" w:cs="Arial"/>
            <w:noProof/>
          </w:rPr>
          <w:fldChar w:fldCharType="end"/>
        </w:r>
      </w:p>
    </w:sdtContent>
  </w:sdt>
  <w:p w:rsidR="002868D9" w:rsidRDefault="00286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D4" w:rsidRDefault="001114D4">
      <w:r>
        <w:separator/>
      </w:r>
    </w:p>
  </w:footnote>
  <w:footnote w:type="continuationSeparator" w:id="0">
    <w:p w:rsidR="001114D4" w:rsidRDefault="00111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8B" w:rsidRDefault="000B7119">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465455</wp:posOffset>
              </wp:positionV>
              <wp:extent cx="121285" cy="1651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58B" w:rsidRDefault="00902E88">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595EA5">
                            <w:rPr>
                              <w:rFonts w:ascii="Calibri" w:eastAsia="Calibri" w:hAnsi="Calibri" w:cs="Calibri"/>
                              <w:noProof/>
                              <w:position w:val="1"/>
                              <w:sz w:val="22"/>
                              <w:szCs w:val="22"/>
                            </w:rPr>
                            <w:t>- 6 -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85pt;margin-top:36.65pt;width:9.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" filled="f" stroked="f">
              <v:textbox inset="0,0,0,0">
                <w:txbxContent>
                  <w:p w:rsidR="000A458B" w:rsidRDefault="00902E88">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595EA5">
                      <w:rPr>
                        <w:rFonts w:ascii="Calibri" w:eastAsia="Calibri" w:hAnsi="Calibri" w:cs="Calibri"/>
                        <w:noProof/>
                        <w:position w:val="1"/>
                        <w:sz w:val="22"/>
                        <w:szCs w:val="22"/>
                      </w:rPr>
                      <w:t>- 6 -</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26375"/>
    <w:multiLevelType w:val="multilevel"/>
    <w:tmpl w:val="9B405C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8B"/>
    <w:rsid w:val="000858F4"/>
    <w:rsid w:val="00094B88"/>
    <w:rsid w:val="000A458B"/>
    <w:rsid w:val="000B7119"/>
    <w:rsid w:val="001114D4"/>
    <w:rsid w:val="002746F7"/>
    <w:rsid w:val="002868D9"/>
    <w:rsid w:val="00330353"/>
    <w:rsid w:val="00375D6A"/>
    <w:rsid w:val="00567E54"/>
    <w:rsid w:val="00595EA5"/>
    <w:rsid w:val="00606CA4"/>
    <w:rsid w:val="00711F92"/>
    <w:rsid w:val="00724F6C"/>
    <w:rsid w:val="00794D39"/>
    <w:rsid w:val="00801898"/>
    <w:rsid w:val="0080602F"/>
    <w:rsid w:val="00873C07"/>
    <w:rsid w:val="008967E1"/>
    <w:rsid w:val="00902E88"/>
    <w:rsid w:val="009072DE"/>
    <w:rsid w:val="009F17D2"/>
    <w:rsid w:val="009F57A1"/>
    <w:rsid w:val="00A915BA"/>
    <w:rsid w:val="00B06F44"/>
    <w:rsid w:val="00B66C7F"/>
    <w:rsid w:val="00D332A0"/>
    <w:rsid w:val="00E71D53"/>
    <w:rsid w:val="00F00970"/>
    <w:rsid w:val="00F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173B"/>
  <w15:docId w15:val="{BB745A97-1AD7-4062-AC87-1B432D97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868D9"/>
    <w:pPr>
      <w:tabs>
        <w:tab w:val="center" w:pos="4680"/>
        <w:tab w:val="right" w:pos="9360"/>
      </w:tabs>
    </w:pPr>
  </w:style>
  <w:style w:type="character" w:customStyle="1" w:styleId="HeaderChar">
    <w:name w:val="Header Char"/>
    <w:basedOn w:val="DefaultParagraphFont"/>
    <w:link w:val="Header"/>
    <w:uiPriority w:val="99"/>
    <w:rsid w:val="002868D9"/>
  </w:style>
  <w:style w:type="paragraph" w:styleId="Footer">
    <w:name w:val="footer"/>
    <w:basedOn w:val="Normal"/>
    <w:link w:val="FooterChar"/>
    <w:uiPriority w:val="99"/>
    <w:unhideWhenUsed/>
    <w:rsid w:val="002868D9"/>
    <w:pPr>
      <w:tabs>
        <w:tab w:val="center" w:pos="4680"/>
        <w:tab w:val="right" w:pos="9360"/>
      </w:tabs>
    </w:pPr>
  </w:style>
  <w:style w:type="character" w:customStyle="1" w:styleId="FooterChar">
    <w:name w:val="Footer Char"/>
    <w:basedOn w:val="DefaultParagraphFont"/>
    <w:link w:val="Footer"/>
    <w:uiPriority w:val="99"/>
    <w:rsid w:val="0028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52598">
      <w:bodyDiv w:val="1"/>
      <w:marLeft w:val="0"/>
      <w:marRight w:val="0"/>
      <w:marTop w:val="0"/>
      <w:marBottom w:val="0"/>
      <w:divBdr>
        <w:top w:val="none" w:sz="0" w:space="0" w:color="auto"/>
        <w:left w:val="none" w:sz="0" w:space="0" w:color="auto"/>
        <w:bottom w:val="none" w:sz="0" w:space="0" w:color="auto"/>
        <w:right w:val="none" w:sz="0" w:space="0" w:color="auto"/>
      </w:divBdr>
    </w:div>
    <w:div w:id="124191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2020-04-08T18:29:00Z</dcterms:created>
  <dcterms:modified xsi:type="dcterms:W3CDTF">2020-06-24T05:24:00Z</dcterms:modified>
</cp:coreProperties>
</file>